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71A5" w14:textId="77777777" w:rsidR="003E74FF" w:rsidRDefault="003E74FF" w:rsidP="00FC31F4">
      <w:pPr>
        <w:spacing w:after="0"/>
        <w:contextualSpacing/>
        <w:jc w:val="center"/>
        <w:rPr>
          <w:rFonts w:ascii="Garamond" w:hAnsi="Garamond"/>
          <w:b/>
          <w:sz w:val="24"/>
          <w:szCs w:val="24"/>
        </w:rPr>
      </w:pPr>
      <w:bookmarkStart w:id="0" w:name="_heading=h.gjdgxs" w:colFirst="0" w:colLast="0"/>
      <w:bookmarkStart w:id="1" w:name="_Hlk98093602"/>
      <w:bookmarkEnd w:id="0"/>
      <w:r w:rsidRPr="003E74FF">
        <w:rPr>
          <w:rFonts w:ascii="Garamond" w:hAnsi="Garamond"/>
          <w:b/>
          <w:sz w:val="24"/>
          <w:szCs w:val="24"/>
        </w:rPr>
        <w:t xml:space="preserve">JIHAD GLOBAL: </w:t>
      </w:r>
    </w:p>
    <w:p w14:paraId="0CBEB0C2" w14:textId="67F3A8DF" w:rsidR="009A69F5" w:rsidRPr="003E74FF" w:rsidRDefault="003E74FF" w:rsidP="00FC31F4">
      <w:pPr>
        <w:spacing w:after="0"/>
        <w:contextualSpacing/>
        <w:jc w:val="center"/>
        <w:rPr>
          <w:rFonts w:ascii="Garamond" w:hAnsi="Garamond"/>
          <w:b/>
          <w:sz w:val="24"/>
          <w:szCs w:val="24"/>
        </w:rPr>
      </w:pPr>
      <w:r w:rsidRPr="003E74FF">
        <w:rPr>
          <w:rFonts w:ascii="Garamond" w:hAnsi="Garamond"/>
          <w:b/>
          <w:sz w:val="24"/>
          <w:szCs w:val="24"/>
        </w:rPr>
        <w:t>IDEOLOGI DAN JARINGANNYA DI INDONESIA</w:t>
      </w:r>
    </w:p>
    <w:bookmarkEnd w:id="1"/>
    <w:p w14:paraId="52B2EE5A" w14:textId="77777777" w:rsidR="003E74FF" w:rsidRDefault="003E74FF" w:rsidP="00FC31F4">
      <w:pPr>
        <w:spacing w:after="0"/>
        <w:contextualSpacing/>
        <w:jc w:val="center"/>
        <w:rPr>
          <w:rFonts w:ascii="Garamond" w:hAnsi="Garamond"/>
          <w:b/>
          <w:sz w:val="24"/>
          <w:szCs w:val="24"/>
        </w:rPr>
      </w:pPr>
    </w:p>
    <w:p w14:paraId="797DD4D9" w14:textId="77777777" w:rsidR="003E74FF" w:rsidRDefault="003E74FF" w:rsidP="00FC31F4">
      <w:pPr>
        <w:spacing w:after="0"/>
        <w:contextualSpacing/>
        <w:jc w:val="center"/>
        <w:rPr>
          <w:rFonts w:ascii="Garamond" w:hAnsi="Garamond"/>
          <w:b/>
          <w:sz w:val="24"/>
          <w:szCs w:val="24"/>
        </w:rPr>
      </w:pPr>
      <w:r w:rsidRPr="003E74FF">
        <w:rPr>
          <w:rFonts w:ascii="Garamond" w:hAnsi="Garamond"/>
          <w:b/>
          <w:sz w:val="24"/>
          <w:szCs w:val="24"/>
        </w:rPr>
        <w:t xml:space="preserve">GLOBAL JIHAD: </w:t>
      </w:r>
    </w:p>
    <w:p w14:paraId="0A8FBCD9" w14:textId="356EDF6B" w:rsidR="009A69F5" w:rsidRPr="003E74FF" w:rsidRDefault="003E74FF" w:rsidP="00FC31F4">
      <w:pPr>
        <w:spacing w:after="0"/>
        <w:contextualSpacing/>
        <w:jc w:val="center"/>
        <w:rPr>
          <w:rFonts w:ascii="Garamond" w:hAnsi="Garamond"/>
          <w:b/>
          <w:sz w:val="24"/>
          <w:szCs w:val="24"/>
        </w:rPr>
      </w:pPr>
      <w:r w:rsidRPr="003E74FF">
        <w:rPr>
          <w:rFonts w:ascii="Garamond" w:hAnsi="Garamond"/>
          <w:b/>
          <w:sz w:val="24"/>
          <w:szCs w:val="24"/>
        </w:rPr>
        <w:t>IDEOLOGY AND ITS NETWORK IN INDONESIA</w:t>
      </w:r>
    </w:p>
    <w:p w14:paraId="474C976A" w14:textId="1E6980CD" w:rsidR="009A69F5" w:rsidRDefault="009A69F5" w:rsidP="00FC31F4">
      <w:pPr>
        <w:tabs>
          <w:tab w:val="left" w:pos="2925"/>
        </w:tabs>
        <w:spacing w:after="0"/>
        <w:contextualSpacing/>
        <w:jc w:val="center"/>
        <w:rPr>
          <w:rFonts w:ascii="Garamond" w:hAnsi="Garamond"/>
          <w:b/>
        </w:rPr>
      </w:pPr>
    </w:p>
    <w:p w14:paraId="507EEBA6" w14:textId="77777777" w:rsidR="00FC31F4" w:rsidRPr="003E74FF" w:rsidRDefault="00FC31F4" w:rsidP="00FC31F4">
      <w:pPr>
        <w:tabs>
          <w:tab w:val="left" w:pos="2925"/>
        </w:tabs>
        <w:spacing w:after="0"/>
        <w:contextualSpacing/>
        <w:jc w:val="center"/>
        <w:rPr>
          <w:rFonts w:ascii="Garamond" w:hAnsi="Garamond"/>
          <w:b/>
        </w:rPr>
      </w:pPr>
    </w:p>
    <w:p w14:paraId="60599B64" w14:textId="77777777" w:rsidR="009A69F5" w:rsidRPr="00FC31F4" w:rsidRDefault="00844F89" w:rsidP="00FC31F4">
      <w:pPr>
        <w:spacing w:after="0"/>
        <w:contextualSpacing/>
        <w:jc w:val="center"/>
        <w:rPr>
          <w:rFonts w:ascii="Garamond" w:hAnsi="Garamond" w:cs="Times New Roman"/>
          <w:b/>
          <w:bCs/>
          <w:color w:val="000000"/>
          <w:kern w:val="2"/>
          <w:lang w:bidi="en-US"/>
        </w:rPr>
      </w:pPr>
      <w:r w:rsidRPr="00FC31F4">
        <w:rPr>
          <w:rFonts w:ascii="Garamond" w:hAnsi="Garamond" w:cs="Times New Roman"/>
          <w:b/>
          <w:bCs/>
          <w:color w:val="000000"/>
          <w:kern w:val="2"/>
          <w:lang w:bidi="en-US"/>
        </w:rPr>
        <w:t xml:space="preserve">Ahmad Khoirul Fata </w:t>
      </w:r>
    </w:p>
    <w:p w14:paraId="68AB3C05" w14:textId="77777777" w:rsidR="009A69F5" w:rsidRPr="00FC31F4" w:rsidRDefault="00844F89" w:rsidP="00FC31F4">
      <w:pPr>
        <w:spacing w:after="0"/>
        <w:contextualSpacing/>
        <w:jc w:val="center"/>
        <w:rPr>
          <w:rFonts w:ascii="Garamond" w:hAnsi="Garamond" w:cs="Times New Roman"/>
          <w:i/>
          <w:iCs/>
          <w:kern w:val="2"/>
          <w:lang w:val="en-US"/>
        </w:rPr>
      </w:pPr>
      <w:r w:rsidRPr="00FC31F4">
        <w:rPr>
          <w:rFonts w:ascii="Garamond" w:hAnsi="Garamond" w:cs="Times New Roman"/>
          <w:i/>
          <w:iCs/>
          <w:kern w:val="2"/>
          <w:lang w:val="en-US"/>
        </w:rPr>
        <w:t xml:space="preserve"> IAIN Sultan Amai Gorontalo</w:t>
      </w:r>
    </w:p>
    <w:p w14:paraId="0C2A6CDA" w14:textId="722E9AAE" w:rsidR="009A69F5" w:rsidRPr="00FC31F4" w:rsidRDefault="00844F89" w:rsidP="00FC31F4">
      <w:pPr>
        <w:spacing w:after="0"/>
        <w:contextualSpacing/>
        <w:jc w:val="center"/>
        <w:rPr>
          <w:rFonts w:ascii="Garamond" w:hAnsi="Garamond" w:cs="Times New Roman"/>
          <w:i/>
          <w:iCs/>
          <w:kern w:val="2"/>
          <w:lang w:val="en-US"/>
        </w:rPr>
      </w:pPr>
      <w:r w:rsidRPr="00FC31F4">
        <w:rPr>
          <w:rFonts w:ascii="Garamond" w:hAnsi="Garamond" w:cs="Times New Roman"/>
          <w:i/>
          <w:iCs/>
          <w:kern w:val="2"/>
          <w:lang w:val="en-US"/>
        </w:rPr>
        <w:t xml:space="preserve">cakfata@gmail.com </w:t>
      </w:r>
    </w:p>
    <w:p w14:paraId="529EA349" w14:textId="77777777" w:rsidR="009A69F5" w:rsidRPr="003E74FF" w:rsidRDefault="00844F89" w:rsidP="00FC31F4">
      <w:pPr>
        <w:tabs>
          <w:tab w:val="left" w:pos="2925"/>
        </w:tabs>
        <w:spacing w:after="0"/>
        <w:contextualSpacing/>
        <w:jc w:val="center"/>
        <w:rPr>
          <w:rFonts w:ascii="Garamond" w:hAnsi="Garamond"/>
          <w:i/>
        </w:rPr>
      </w:pPr>
      <w:r w:rsidRPr="003E74FF">
        <w:rPr>
          <w:rFonts w:ascii="Garamond" w:hAnsi="Garamond"/>
          <w:i/>
        </w:rPr>
        <w:t xml:space="preserve"> </w:t>
      </w:r>
    </w:p>
    <w:p w14:paraId="2AEB1B49" w14:textId="77777777" w:rsidR="009A69F5" w:rsidRPr="00FC31F4" w:rsidRDefault="00844F89" w:rsidP="00FC31F4">
      <w:pPr>
        <w:spacing w:after="0"/>
        <w:contextualSpacing/>
        <w:jc w:val="center"/>
        <w:rPr>
          <w:rFonts w:ascii="Garamond" w:hAnsi="Garamond" w:cs="Times New Roman"/>
          <w:b/>
          <w:bCs/>
          <w:color w:val="000000"/>
          <w:kern w:val="2"/>
          <w:lang w:bidi="en-US"/>
        </w:rPr>
      </w:pPr>
      <w:r w:rsidRPr="00FC31F4">
        <w:rPr>
          <w:rFonts w:ascii="Garamond" w:hAnsi="Garamond" w:cs="Times New Roman"/>
          <w:b/>
          <w:bCs/>
          <w:color w:val="000000"/>
          <w:kern w:val="2"/>
          <w:lang w:bidi="en-US"/>
        </w:rPr>
        <w:t xml:space="preserve"> Muh. Khamdan </w:t>
      </w:r>
    </w:p>
    <w:p w14:paraId="18828B5A" w14:textId="77777777" w:rsidR="009A69F5" w:rsidRPr="00FC31F4" w:rsidRDefault="00844F89" w:rsidP="00FC31F4">
      <w:pPr>
        <w:spacing w:after="0"/>
        <w:contextualSpacing/>
        <w:jc w:val="center"/>
        <w:rPr>
          <w:rFonts w:ascii="Garamond" w:hAnsi="Garamond" w:cs="Times New Roman"/>
          <w:i/>
          <w:iCs/>
          <w:kern w:val="2"/>
          <w:lang w:val="en-US"/>
        </w:rPr>
      </w:pPr>
      <w:r w:rsidRPr="00FC31F4">
        <w:rPr>
          <w:rFonts w:ascii="Garamond" w:hAnsi="Garamond" w:cs="Times New Roman"/>
          <w:i/>
          <w:iCs/>
          <w:kern w:val="2"/>
          <w:lang w:val="en-US"/>
        </w:rPr>
        <w:t>Politeknik Ilmu Pemasyarakatan Kemenkumham, Depok</w:t>
      </w:r>
    </w:p>
    <w:p w14:paraId="6328A847" w14:textId="00F1021F" w:rsidR="009A69F5" w:rsidRPr="00FC31F4" w:rsidRDefault="00844F89" w:rsidP="00FC31F4">
      <w:pPr>
        <w:spacing w:after="0"/>
        <w:contextualSpacing/>
        <w:jc w:val="center"/>
        <w:rPr>
          <w:rFonts w:ascii="Garamond" w:hAnsi="Garamond" w:cs="Times New Roman"/>
          <w:i/>
          <w:iCs/>
          <w:kern w:val="2"/>
          <w:lang w:val="en-US"/>
        </w:rPr>
      </w:pPr>
      <w:r w:rsidRPr="00FC31F4">
        <w:rPr>
          <w:rFonts w:ascii="Garamond" w:hAnsi="Garamond" w:cs="Times New Roman"/>
          <w:i/>
          <w:iCs/>
          <w:kern w:val="2"/>
          <w:lang w:val="en-US"/>
        </w:rPr>
        <w:t>khamdanwi@gmail.com</w:t>
      </w:r>
    </w:p>
    <w:p w14:paraId="50AA34CE" w14:textId="30231B78" w:rsidR="009A69F5" w:rsidRDefault="009A69F5" w:rsidP="00FC31F4">
      <w:pPr>
        <w:pStyle w:val="Heading2"/>
        <w:spacing w:before="0" w:line="276" w:lineRule="auto"/>
        <w:contextualSpacing/>
        <w:jc w:val="both"/>
        <w:rPr>
          <w:rFonts w:ascii="Garamond" w:hAnsi="Garamond"/>
          <w:color w:val="000000"/>
          <w:sz w:val="22"/>
          <w:szCs w:val="22"/>
        </w:rPr>
      </w:pPr>
    </w:p>
    <w:p w14:paraId="4DE18E1B" w14:textId="61156E89" w:rsidR="00FC31F4" w:rsidRDefault="00FC31F4" w:rsidP="00FC31F4">
      <w:pPr>
        <w:spacing w:after="0"/>
        <w:contextualSpacing/>
        <w:rPr>
          <w:lang w:val="en-US"/>
        </w:rPr>
      </w:pPr>
    </w:p>
    <w:p w14:paraId="0E3E579D" w14:textId="77777777" w:rsidR="00FC31F4" w:rsidRPr="00FC31F4" w:rsidRDefault="00FC31F4" w:rsidP="00FC31F4">
      <w:pPr>
        <w:spacing w:after="0"/>
        <w:contextualSpacing/>
        <w:rPr>
          <w:lang w:val="en-US"/>
        </w:rPr>
      </w:pPr>
    </w:p>
    <w:p w14:paraId="413C208D" w14:textId="15E58417" w:rsidR="00FC31F4" w:rsidRDefault="00844F89" w:rsidP="00FC31F4">
      <w:pPr>
        <w:pStyle w:val="Heading1"/>
        <w:keepNext/>
        <w:spacing w:before="0" w:beforeAutospacing="0" w:after="0" w:afterAutospacing="0"/>
        <w:rPr>
          <w:rFonts w:ascii="Garamond" w:hAnsi="Garamond"/>
          <w:sz w:val="22"/>
          <w:szCs w:val="22"/>
        </w:rPr>
      </w:pPr>
      <w:r w:rsidRPr="00FC31F4">
        <w:rPr>
          <w:rFonts w:ascii="Garamond" w:hAnsi="Garamond" w:cs="Arial"/>
          <w:kern w:val="2"/>
          <w:sz w:val="22"/>
          <w:szCs w:val="22"/>
          <w:lang w:val="en-US" w:eastAsia="en-US"/>
        </w:rPr>
        <w:t>Abstrak</w:t>
      </w:r>
    </w:p>
    <w:p w14:paraId="2CB89FAC" w14:textId="3A35E918" w:rsidR="009A69F5" w:rsidRPr="00FC31F4" w:rsidRDefault="00844F89" w:rsidP="00FC31F4">
      <w:pPr>
        <w:spacing w:after="0" w:line="240" w:lineRule="auto"/>
        <w:contextualSpacing/>
        <w:jc w:val="both"/>
        <w:rPr>
          <w:rFonts w:ascii="Garamond" w:hAnsi="Garamond"/>
          <w:i/>
          <w:iCs/>
        </w:rPr>
      </w:pPr>
      <w:r w:rsidRPr="00FC31F4">
        <w:rPr>
          <w:rFonts w:ascii="Garamond" w:hAnsi="Garamond" w:cs="Times New Roman"/>
          <w:bCs/>
          <w:i/>
          <w:iCs/>
          <w:kern w:val="2"/>
          <w:lang w:bidi="en-US"/>
        </w:rPr>
        <w:t>Radikalisme</w:t>
      </w:r>
      <w:r w:rsidRPr="00FC31F4">
        <w:rPr>
          <w:rFonts w:ascii="Garamond" w:hAnsi="Garamond"/>
          <w:i/>
          <w:iCs/>
        </w:rPr>
        <w:t xml:space="preserve"> atas nama Islam kembali marak di Dunia Islam kontemporer. Gerakan ini mewujud dalam berbagai aksi kekerasan dan perlawanan terhadap kelompok-kelompok yang dianggap sebagai musuh Islam. Faktor politik, ekonomi, dan ketidakadilan global yang dibungkus dengan sentimen keagamaan menjadi pendorong kebangkitan gerakan ini. Dengan ideologi “jihad”-nya, mereka menyebarkan pahamnya ke berbagai belahan dunia, tak terkecuali Indonesia. Dengan pendekatan sosio-politik, kajian ini hendak mengkaji ideologi gerakan Jihad Global, pengaruh, dan jaringannya di Indonesia. Dari kajian ini terlihat bahwa gerakan Jihad Global memiliki kaitan erat dengan gerakan reformasi Islam yang merupakan respons atas kemunduran Dunia Islam berhadapan dengan Dunia Barat. Pengembangan ide ini oleh Sayyid Quthb membuat gerakan reformasi bukan sekedar sebagai otokritik atas kondisi umat, namun juga mengeras menjadi ideologi perlawanan terhadap sistem yang dianggap menindas. Ideologi perlawanan inilah yang kemudian mengilhami berbagai gerakan ekstrim di Indonesia pasca reformasi.</w:t>
      </w:r>
    </w:p>
    <w:p w14:paraId="41D26559" w14:textId="77777777" w:rsidR="009A69F5" w:rsidRPr="00F4483C" w:rsidRDefault="00844F89" w:rsidP="00F4483C">
      <w:pPr>
        <w:spacing w:after="0"/>
        <w:rPr>
          <w:rFonts w:ascii="Garamond" w:hAnsi="Garamond"/>
          <w:i/>
          <w:iCs/>
        </w:rPr>
      </w:pPr>
      <w:r w:rsidRPr="003E74FF">
        <w:rPr>
          <w:rFonts w:ascii="Garamond" w:hAnsi="Garamond"/>
          <w:b/>
        </w:rPr>
        <w:t xml:space="preserve">Kata </w:t>
      </w:r>
      <w:r w:rsidRPr="00FC31F4">
        <w:rPr>
          <w:rFonts w:ascii="Garamond" w:hAnsi="Garamond"/>
          <w:b/>
          <w:kern w:val="2"/>
          <w:lang w:val="en-US"/>
        </w:rPr>
        <w:t>Kunci</w:t>
      </w:r>
      <w:r w:rsidRPr="003E74FF">
        <w:rPr>
          <w:rFonts w:ascii="Garamond" w:hAnsi="Garamond"/>
          <w:b/>
        </w:rPr>
        <w:t>:</w:t>
      </w:r>
      <w:r w:rsidRPr="003E74FF">
        <w:rPr>
          <w:rFonts w:ascii="Garamond" w:hAnsi="Garamond"/>
        </w:rPr>
        <w:t xml:space="preserve"> </w:t>
      </w:r>
      <w:r w:rsidRPr="00F4483C">
        <w:rPr>
          <w:rFonts w:ascii="Garamond" w:hAnsi="Garamond"/>
          <w:i/>
          <w:iCs/>
        </w:rPr>
        <w:t>Radikalisme, Terorisme, Jihad Global, Sayyid Quthb</w:t>
      </w:r>
    </w:p>
    <w:p w14:paraId="3F86D555" w14:textId="77777777" w:rsidR="009A69F5" w:rsidRPr="003E74FF" w:rsidRDefault="009A69F5" w:rsidP="00FC31F4">
      <w:pPr>
        <w:spacing w:after="0"/>
        <w:ind w:left="567"/>
        <w:contextualSpacing/>
        <w:jc w:val="both"/>
        <w:rPr>
          <w:rFonts w:ascii="Garamond" w:hAnsi="Garamond"/>
        </w:rPr>
      </w:pPr>
    </w:p>
    <w:p w14:paraId="15F8F51A" w14:textId="3E9F6A3A" w:rsidR="00FC31F4" w:rsidRDefault="00844F89" w:rsidP="00FC31F4">
      <w:pPr>
        <w:pStyle w:val="Heading1"/>
        <w:keepNext/>
        <w:spacing w:before="0" w:beforeAutospacing="0" w:after="0" w:afterAutospacing="0"/>
        <w:rPr>
          <w:rFonts w:ascii="Garamond" w:hAnsi="Garamond"/>
          <w:b w:val="0"/>
        </w:rPr>
      </w:pPr>
      <w:r w:rsidRPr="00FC31F4">
        <w:rPr>
          <w:rFonts w:ascii="Garamond" w:hAnsi="Garamond" w:cs="Arial"/>
          <w:kern w:val="2"/>
          <w:sz w:val="22"/>
          <w:szCs w:val="22"/>
          <w:lang w:val="en-US" w:eastAsia="en-US"/>
        </w:rPr>
        <w:t>Abstract</w:t>
      </w:r>
    </w:p>
    <w:p w14:paraId="32B2FB17" w14:textId="1CFC4BE9" w:rsidR="009A69F5" w:rsidRPr="00FC31F4" w:rsidRDefault="00844F89" w:rsidP="00FC31F4">
      <w:pPr>
        <w:spacing w:after="0" w:line="240" w:lineRule="auto"/>
        <w:contextualSpacing/>
        <w:jc w:val="both"/>
        <w:rPr>
          <w:rFonts w:ascii="Garamond" w:hAnsi="Garamond"/>
          <w:i/>
          <w:iCs/>
        </w:rPr>
      </w:pPr>
      <w:r w:rsidRPr="00FC31F4">
        <w:rPr>
          <w:rFonts w:ascii="Garamond" w:hAnsi="Garamond"/>
          <w:i/>
          <w:iCs/>
        </w:rPr>
        <w:t xml:space="preserve">Radicalism in the name of Islam is re-emerging in the contemporary Islamic world. This movement manifested in various acts of violence and resistance against “enemies of Islam”. Political, economic, and global injustice factors wrapped in religious sentiments are the </w:t>
      </w:r>
      <w:r w:rsidRPr="00FC31F4">
        <w:rPr>
          <w:rFonts w:ascii="Garamond" w:hAnsi="Garamond"/>
          <w:i/>
          <w:iCs/>
        </w:rPr>
        <w:lastRenderedPageBreak/>
        <w:t>driving forces for the revival of this movement. With ideology of "jihad", they spread their understanding to various parts of the world, including Indonesia. With a socio-political approach, this study aims to examine the ideology of the Global Jihad movement, its influence, and its network in Indonesia. From this study, it can be seen that the Global Jihad movement is closely related to the Islamic reform movement which is a response to the decline of the Islamic world in dealing with the West. The development of this idea by Sayyid Qutb made the reform movement not only as an auto critic of the condition of the ummah, but also hardened into an ideology of resistance to a system that is considered oppressive. This ideology of resistance then inspired various extreme movements in post-reform Indonesia.</w:t>
      </w:r>
    </w:p>
    <w:p w14:paraId="175779B3" w14:textId="77777777" w:rsidR="009A69F5" w:rsidRPr="00F4483C" w:rsidRDefault="00844F89" w:rsidP="00F4483C">
      <w:pPr>
        <w:spacing w:after="0"/>
        <w:rPr>
          <w:rFonts w:ascii="Garamond" w:hAnsi="Garamond"/>
          <w:bCs/>
          <w:i/>
          <w:iCs/>
        </w:rPr>
      </w:pPr>
      <w:r w:rsidRPr="00F4483C">
        <w:rPr>
          <w:rFonts w:ascii="Garamond" w:hAnsi="Garamond"/>
          <w:b/>
          <w:kern w:val="2"/>
          <w:lang w:val="en-US"/>
        </w:rPr>
        <w:t>Keywords</w:t>
      </w:r>
      <w:r w:rsidRPr="00F4483C">
        <w:rPr>
          <w:rFonts w:ascii="Garamond" w:hAnsi="Garamond"/>
          <w:b/>
        </w:rPr>
        <w:t>:</w:t>
      </w:r>
      <w:r w:rsidRPr="00F4483C">
        <w:rPr>
          <w:rFonts w:ascii="Garamond" w:hAnsi="Garamond"/>
          <w:bCs/>
          <w:i/>
          <w:iCs/>
        </w:rPr>
        <w:t xml:space="preserve"> Radicalism, Terrorism, Global Jihad, Sayyid Quthb</w:t>
      </w:r>
    </w:p>
    <w:p w14:paraId="11E4816D" w14:textId="77777777" w:rsidR="009A69F5" w:rsidRPr="003E74FF" w:rsidRDefault="009A69F5" w:rsidP="00FC31F4">
      <w:pPr>
        <w:spacing w:after="0"/>
        <w:contextualSpacing/>
        <w:jc w:val="both"/>
        <w:rPr>
          <w:rFonts w:ascii="Garamond" w:hAnsi="Garamond"/>
        </w:rPr>
      </w:pPr>
    </w:p>
    <w:p w14:paraId="0645EB52" w14:textId="77777777" w:rsidR="009A69F5" w:rsidRPr="003E74FF" w:rsidRDefault="00844F89" w:rsidP="00FC31F4">
      <w:pPr>
        <w:pStyle w:val="Heading1"/>
        <w:keepNext/>
        <w:spacing w:before="240" w:beforeAutospacing="0" w:after="0" w:afterAutospacing="0" w:line="276" w:lineRule="auto"/>
        <w:rPr>
          <w:rFonts w:ascii="Garamond" w:hAnsi="Garamond"/>
          <w:b w:val="0"/>
          <w:sz w:val="22"/>
          <w:szCs w:val="22"/>
        </w:rPr>
      </w:pPr>
      <w:r w:rsidRPr="00FC31F4">
        <w:rPr>
          <w:rFonts w:ascii="Garamond" w:hAnsi="Garamond" w:cs="Arial"/>
          <w:kern w:val="2"/>
          <w:sz w:val="22"/>
          <w:szCs w:val="22"/>
          <w:lang w:eastAsia="en-US"/>
        </w:rPr>
        <w:t>Pendahuluan</w:t>
      </w:r>
    </w:p>
    <w:p w14:paraId="43616F86" w14:textId="77777777" w:rsidR="009A69F5" w:rsidRPr="003E74FF" w:rsidRDefault="00844F89" w:rsidP="00FC31F4">
      <w:pPr>
        <w:spacing w:after="0"/>
        <w:ind w:firstLine="426"/>
        <w:contextualSpacing/>
        <w:jc w:val="both"/>
        <w:rPr>
          <w:rFonts w:ascii="Garamond" w:hAnsi="Garamond"/>
        </w:rPr>
      </w:pPr>
      <w:r w:rsidRPr="003E74FF">
        <w:rPr>
          <w:rFonts w:ascii="Garamond" w:hAnsi="Garamond"/>
        </w:rPr>
        <w:t xml:space="preserve">Radikalisme yang dikaitkan dengan Islam menjadi topik yang banyak dibicarakan di era kekinian. Ada banyak istilah digunakan untuk menyebut fenomena ini, seperti fundamentalisme, Islam revolusioner,  </w:t>
      </w:r>
      <w:r w:rsidRPr="003E74FF">
        <w:rPr>
          <w:rFonts w:ascii="Garamond" w:hAnsi="Garamond"/>
          <w:i/>
        </w:rPr>
        <w:t>Islamic revivalism</w:t>
      </w:r>
      <w:r w:rsidRPr="003E74FF">
        <w:rPr>
          <w:rFonts w:ascii="Garamond" w:hAnsi="Garamond"/>
        </w:rPr>
        <w:t>,   Islamisme (pelakunya disebut “Islamis”), atau Neo-Fundamentalisme (Lihat Fauzan &amp; Fata, 2019). Azyumardi Azra (1996, p. 141) menuding kelompok Khawarij sebagai awal dari gerakan radikal dalam Islam. Sementara  Oliver Roy (1996, p. 35)</w:t>
      </w:r>
      <w:r w:rsidRPr="003E74FF">
        <w:rPr>
          <w:rFonts w:ascii="Garamond" w:hAnsi="Garamond"/>
          <w:vertAlign w:val="superscript"/>
        </w:rPr>
        <w:t xml:space="preserve"> </w:t>
      </w:r>
      <w:r w:rsidRPr="003E74FF">
        <w:rPr>
          <w:rFonts w:ascii="Garamond" w:hAnsi="Garamond"/>
        </w:rPr>
        <w:t xml:space="preserve">menganggap beberapa gerakan sempalan dari al-Ikhwān al-Muslimūn di Mesir dan Jama’at-i Islāmi di Pakistan sebagai sumber dari gerakan radikalisme Islam modern, yang berkembangan ke berbagai belahan dunia muslim dengan bentuk dan corak yang berbeda, tak terkecuali di Indonesia. Beberapa gerakan Islam radikal semacam ini misalnya al-Qaeda, Jamaah Islamiyah, dan ISIS. </w:t>
      </w:r>
    </w:p>
    <w:p w14:paraId="0C002D24" w14:textId="77777777" w:rsidR="009A69F5" w:rsidRPr="003E74FF" w:rsidRDefault="00844F89" w:rsidP="00FC31F4">
      <w:pPr>
        <w:spacing w:after="0"/>
        <w:ind w:firstLine="426"/>
        <w:contextualSpacing/>
        <w:jc w:val="both"/>
        <w:rPr>
          <w:rFonts w:ascii="Garamond" w:hAnsi="Garamond"/>
        </w:rPr>
      </w:pPr>
      <w:r w:rsidRPr="003E74FF">
        <w:rPr>
          <w:rFonts w:ascii="Garamond" w:hAnsi="Garamond"/>
        </w:rPr>
        <w:t xml:space="preserve">Secara umum kelompok-kelompok ini memahami teks keislaman secara literal dan sepotong-potong. Mereka juga cenderung kurang memberikan ruang akomodasi dan kompromi terhadap kelompok-kelompok Muslim lain yang berbeda. Ada lima aspek yang menjadi </w:t>
      </w:r>
      <w:r w:rsidRPr="003E74FF">
        <w:rPr>
          <w:rFonts w:ascii="Garamond" w:hAnsi="Garamond"/>
          <w:i/>
        </w:rPr>
        <w:t>common platforms</w:t>
      </w:r>
      <w:r w:rsidRPr="003E74FF">
        <w:rPr>
          <w:rFonts w:ascii="Garamond" w:hAnsi="Garamond"/>
        </w:rPr>
        <w:t xml:space="preserve"> gerakan radikal, yaitu: Klaim kebenaran mutlak </w:t>
      </w:r>
      <w:r w:rsidRPr="003E74FF">
        <w:rPr>
          <w:rFonts w:ascii="Garamond" w:hAnsi="Garamond"/>
          <w:i/>
        </w:rPr>
        <w:t>(absolut truth claim)</w:t>
      </w:r>
      <w:r w:rsidRPr="003E74FF">
        <w:rPr>
          <w:rFonts w:ascii="Garamond" w:hAnsi="Garamond"/>
        </w:rPr>
        <w:t>, ketaatan membabi buta</w:t>
      </w:r>
      <w:r w:rsidRPr="003E74FF">
        <w:rPr>
          <w:rFonts w:ascii="Garamond" w:hAnsi="Garamond"/>
          <w:i/>
        </w:rPr>
        <w:t>,</w:t>
      </w:r>
      <w:r w:rsidRPr="003E74FF">
        <w:rPr>
          <w:rFonts w:ascii="Garamond" w:hAnsi="Garamond"/>
        </w:rPr>
        <w:t xml:space="preserve"> keinginan membangun zaman “ideal”, tujuan menghalalkan segala cara</w:t>
      </w:r>
      <w:r w:rsidRPr="003E74FF">
        <w:rPr>
          <w:rFonts w:ascii="Garamond" w:hAnsi="Garamond"/>
          <w:i/>
        </w:rPr>
        <w:t xml:space="preserve">, </w:t>
      </w:r>
      <w:r w:rsidRPr="003E74FF">
        <w:rPr>
          <w:rFonts w:ascii="Garamond" w:hAnsi="Garamond"/>
        </w:rPr>
        <w:t>deklarasi perang suci</w:t>
      </w:r>
      <w:r w:rsidRPr="003E74FF">
        <w:rPr>
          <w:rFonts w:ascii="Garamond" w:hAnsi="Garamond"/>
          <w:i/>
        </w:rPr>
        <w:t>.</w:t>
      </w:r>
      <w:r w:rsidRPr="003E74FF">
        <w:rPr>
          <w:rFonts w:ascii="Garamond" w:hAnsi="Garamond"/>
        </w:rPr>
        <w:t xml:space="preserve"> Mereka menggunakan dalih jihad untuk mewujudkan keinginannya itu (Fauzan &amp; Fata, 2019; Mukhlis, 2012). </w:t>
      </w:r>
    </w:p>
    <w:p w14:paraId="7DD08029" w14:textId="77777777" w:rsidR="009A69F5" w:rsidRPr="003E74FF" w:rsidRDefault="00844F89" w:rsidP="00FC31F4">
      <w:pPr>
        <w:spacing w:after="0"/>
        <w:ind w:firstLine="426"/>
        <w:contextualSpacing/>
        <w:jc w:val="both"/>
        <w:rPr>
          <w:rFonts w:ascii="Garamond" w:hAnsi="Garamond"/>
        </w:rPr>
      </w:pPr>
      <w:r w:rsidRPr="003E74FF">
        <w:rPr>
          <w:rFonts w:ascii="Garamond" w:hAnsi="Garamond"/>
        </w:rPr>
        <w:t xml:space="preserve">Dengan ideologi seperti inilah, gerakan radikal atas nama Islam berkembang ke berbagai belahan dunia. Mereka dikenal sebagai sebagai gerakan transnasional yang membawa ideologi “jihad global” dan aksi-aksi </w:t>
      </w:r>
      <w:r w:rsidRPr="003E74FF">
        <w:rPr>
          <w:rFonts w:ascii="Garamond" w:hAnsi="Garamond"/>
        </w:rPr>
        <w:lastRenderedPageBreak/>
        <w:t>perlawanan terhadap pihak lain yang dianggap musuhnya. Tulisan ini mencoba mengkaji gerakan Jihad Global tersebut dengan fokus pada perkembangannya di Dunia Islam dan pengaruhnya terhadap gerakan keagamaan ekstrim di Indonesia. Karena itu kajian ini merupakan penelitian kepustakaan yang bersifat deskriptif-analitis, dan dengan pendekatan sosio-politik.</w:t>
      </w:r>
    </w:p>
    <w:p w14:paraId="42D1AD0A" w14:textId="77777777" w:rsidR="009A69F5" w:rsidRPr="003E74FF" w:rsidRDefault="00844F89" w:rsidP="00FC31F4">
      <w:pPr>
        <w:pStyle w:val="Heading1"/>
        <w:keepNext/>
        <w:spacing w:before="240" w:beforeAutospacing="0" w:after="0" w:afterAutospacing="0" w:line="276" w:lineRule="auto"/>
        <w:rPr>
          <w:rFonts w:ascii="Garamond" w:hAnsi="Garamond"/>
          <w:b w:val="0"/>
          <w:sz w:val="22"/>
          <w:szCs w:val="22"/>
        </w:rPr>
      </w:pPr>
      <w:r w:rsidRPr="00FC31F4">
        <w:rPr>
          <w:rFonts w:ascii="Garamond" w:hAnsi="Garamond" w:cs="Arial"/>
          <w:kern w:val="2"/>
          <w:sz w:val="22"/>
          <w:szCs w:val="22"/>
          <w:lang w:eastAsia="en-US"/>
        </w:rPr>
        <w:t>Konsep</w:t>
      </w:r>
      <w:r w:rsidRPr="003E74FF">
        <w:rPr>
          <w:rFonts w:ascii="Garamond" w:hAnsi="Garamond"/>
          <w:sz w:val="22"/>
          <w:szCs w:val="22"/>
        </w:rPr>
        <w:t xml:space="preserve"> Tentang Radikalisme</w:t>
      </w:r>
    </w:p>
    <w:p w14:paraId="00E83420" w14:textId="77777777" w:rsidR="009A69F5" w:rsidRPr="003E74FF" w:rsidRDefault="00844F89" w:rsidP="00FC31F4">
      <w:pPr>
        <w:spacing w:after="0"/>
        <w:ind w:firstLine="426"/>
        <w:contextualSpacing/>
        <w:jc w:val="both"/>
        <w:rPr>
          <w:rFonts w:ascii="Garamond" w:hAnsi="Garamond"/>
        </w:rPr>
      </w:pPr>
      <w:r w:rsidRPr="003E74FF">
        <w:rPr>
          <w:rFonts w:ascii="Garamond" w:hAnsi="Garamond"/>
        </w:rPr>
        <w:t>Radikalisme merupakan pandangan yang ingin melakukan suatu perubahan mendasar sesuai dengan interpretasi ideologi yang dianut maupun adanya tekanan atas fenomena sosial yang ada. Perubahan tersebut dapat dilakukan dengan cara persuasif yang damai tetapi juga dapat dengan kekerasan fisik maupun kekerasan simbolik. Pada akhirnya, radikalisme cenderung identik dengan tindak kekerasan bahkan sampai pada bunuh diri menuju pencapaian tujuan yang diyakininya (Golose, 2009, hal. 38).</w:t>
      </w:r>
    </w:p>
    <w:p w14:paraId="67245AC8" w14:textId="77777777" w:rsidR="009A69F5" w:rsidRPr="003E74FF" w:rsidRDefault="00844F89" w:rsidP="00FC31F4">
      <w:pPr>
        <w:spacing w:after="0"/>
        <w:ind w:firstLine="426"/>
        <w:contextualSpacing/>
        <w:jc w:val="both"/>
        <w:rPr>
          <w:rFonts w:ascii="Garamond" w:hAnsi="Garamond"/>
        </w:rPr>
      </w:pPr>
      <w:r w:rsidRPr="003E74FF">
        <w:rPr>
          <w:rFonts w:ascii="Garamond" w:hAnsi="Garamond"/>
        </w:rPr>
        <w:t>Radikalisme sebagai suatu paham tidak selalu ditandai dengan aksi-aksi kekerasan, namun dapat juga sebatas pemikiran dan ideologi yang tidak menggunakan cara-cara kekerasan dalam melaksanakan pemikiran tersebut. Radikalisme yang ditentukan oleh persepsi individu tentu tidak hanya dipengaruhi suatu landasan ideologi tertentu, namun dapat juga dipengaruhi oleh berbagai faktor lain dalam isu global, regional, maupun lokal. Fanatisme ideologi sehingga menganggap yang lain salah, dapat menjadi penyebab radikalisme dengan penggunaan senjata. Kondisi kekerasan yang berdalih sebagai perjuangan ideologi melahirkan ekstrimisme dan menguat sebagai aksi terorisme dengan tujuan-tujuan politik tertentu.</w:t>
      </w:r>
    </w:p>
    <w:p w14:paraId="78BB9C78" w14:textId="77777777" w:rsidR="009A69F5" w:rsidRPr="003E74FF" w:rsidRDefault="00844F89" w:rsidP="00FC31F4">
      <w:pPr>
        <w:spacing w:after="0"/>
        <w:ind w:firstLine="426"/>
        <w:contextualSpacing/>
        <w:jc w:val="both"/>
        <w:rPr>
          <w:rFonts w:ascii="Garamond" w:hAnsi="Garamond"/>
        </w:rPr>
      </w:pPr>
      <w:r w:rsidRPr="003E74FF">
        <w:rPr>
          <w:rFonts w:ascii="Garamond" w:hAnsi="Garamond"/>
        </w:rPr>
        <w:t xml:space="preserve">Faktor ekonomi dalam tindakan radikalisme dicontohkan pada seringnya terjadi kudeta militer dan konflik politik di negara-negara berkembang maupun negara miskin.(Djelantik, 2010, hal. 256) Aspek sosial budaya dan psikologi dalam mempengaruhi munculnya radikalisme dapat dilihat dari persepsi pelaku yang merasakan adanya tekanan serangan, tidak dihargai, dan adanya kekerasan yang dirasakan (Jurgensmayer, 2001, hal. 16). Aspek teologis atau agama dapat mempengaruhi munculnya radikalisme karena memahami agama dalam dua kutub yang bertentangan, yaitu merasa lebih benar atau lebih berhak untuk masuk surga serta adanya dendam sejarah dalam setiap perkembangan agama (Adisaputra, 2006, hal. 64; Hasan, 2007, hal. 11–12; Jurgensmayer, 2001, hal. 14–15; Lutz &amp; Lutz, 2004, hal. 74–78). Namun demikian, klaim kebenaran beragama bukanlah sumber </w:t>
      </w:r>
      <w:r w:rsidRPr="003E74FF">
        <w:rPr>
          <w:rFonts w:ascii="Garamond" w:hAnsi="Garamond"/>
        </w:rPr>
        <w:lastRenderedPageBreak/>
        <w:t xml:space="preserve">utama terjadinya sikap radikal dan kekerasan atas nama agama (Fata, 2014). Justru seringkali radikalisme agama itu hanya sekedar refleksi atas kondisi sosial, ekonomi, dan politik yang bermasalah Muhammad ‘Abid Al-Jābiri, Qadr{ayat al-Fikr al-‘Arabi&gt;: al-Mas’alah al-Thaqāfiyyah (Beirut: Markaz Dirasah al-Wahidah al-‘Arābiyyah, 2004); Fata, “Menguak Islam Eksklusif yang Toleran.”. </w:t>
      </w:r>
    </w:p>
    <w:p w14:paraId="506EAFE3" w14:textId="77777777" w:rsidR="009A69F5" w:rsidRPr="003E74FF" w:rsidRDefault="00844F89" w:rsidP="00FC31F4">
      <w:pPr>
        <w:spacing w:after="0"/>
        <w:ind w:firstLine="426"/>
        <w:contextualSpacing/>
        <w:jc w:val="both"/>
        <w:rPr>
          <w:rFonts w:ascii="Garamond" w:hAnsi="Garamond"/>
        </w:rPr>
      </w:pPr>
      <w:r w:rsidRPr="003E74FF">
        <w:rPr>
          <w:rFonts w:ascii="Garamond" w:hAnsi="Garamond"/>
        </w:rPr>
        <w:t xml:space="preserve">Ideologi keagamaan sering menjadi motivasi sekaligus dorongan untuk membenarkan aksi teror yang dilakukan. Penguatan aksi teror yang mengatasnamakan agama dianggap sebagai bentuk perjuangan keyakinan yang sangat mendasar atau fundamental. Fundamentalis agama lebih mengutamakan doktrin agama daripada toleransi yang berdasar cinta dan penghormatan hak asasi manusia (Maftuh Abegebriel et al., 2004, hal. 124–128). Sikap demikian sebagai akibat pelaku atau aktivis fundamentalisme agama lebih mengedepankan kebenaran yang bersifat sektarian daripada penghargaan perbedaan. Keadaan ini yang menjadikan penyebaran radikalisme agama dipengaruhi keyakinan sepihak dan dipaksakan untuk diikuti oleh orang lain (Al-Zastrouw Ng, 2006; Azra, 1996; Fadl, 2005; Noer, 1996; Rahmat, 2005). </w:t>
      </w:r>
    </w:p>
    <w:p w14:paraId="415E80E4" w14:textId="77777777" w:rsidR="009A69F5" w:rsidRPr="003E74FF" w:rsidRDefault="00844F89" w:rsidP="00FC31F4">
      <w:pPr>
        <w:spacing w:after="0"/>
        <w:ind w:firstLine="426"/>
        <w:contextualSpacing/>
        <w:jc w:val="both"/>
        <w:rPr>
          <w:rFonts w:ascii="Garamond" w:hAnsi="Garamond"/>
        </w:rPr>
      </w:pPr>
      <w:r w:rsidRPr="003E74FF">
        <w:rPr>
          <w:rFonts w:ascii="Garamond" w:hAnsi="Garamond"/>
        </w:rPr>
        <w:t xml:space="preserve">Kepala Badan Nasional Penanggulangan Terorisme (BNPT) masa 2010-2014, Ansyaad Mbai, menyatakan bahwa radikalisme adalah akar dari terorisme sehingga aksi terorisme akan selalu ada jika pergerakan radikalisme tidak dihentikan beserta sumber-sumber lahirnya radikalisme itu sendiri (Dimas, 2011). Para pelaku terorisme sejak peristiwa pengeboman World Trade Center (WTC) di Amerika Serikat pada 11 September 2001 mengaku tindakannya sebagai bentuk </w:t>
      </w:r>
      <w:r w:rsidRPr="003E74FF">
        <w:rPr>
          <w:rFonts w:ascii="Garamond" w:hAnsi="Garamond"/>
          <w:i/>
        </w:rPr>
        <w:t xml:space="preserve">jihād fī sabīlillāh. </w:t>
      </w:r>
      <w:r w:rsidRPr="003E74FF">
        <w:rPr>
          <w:rFonts w:ascii="Garamond" w:hAnsi="Garamond"/>
        </w:rPr>
        <w:t xml:space="preserve">Hal demikian sebagaimana pengakuan Ali Imron dalam aksi bom Bali I yang dipengaruhi adanya beberapa alasan, yaitu ketidakpuasan terhadap pemerintah yang tidak berdasarkan syari’at Islam dan tidak adanya </w:t>
      </w:r>
      <w:r w:rsidRPr="003E74FF">
        <w:rPr>
          <w:rFonts w:ascii="Garamond" w:hAnsi="Garamond"/>
          <w:i/>
        </w:rPr>
        <w:t>imāmah</w:t>
      </w:r>
      <w:r w:rsidRPr="003E74FF">
        <w:rPr>
          <w:rFonts w:ascii="Garamond" w:hAnsi="Garamond"/>
        </w:rPr>
        <w:t>, rusaknya moralitas dan akidah masyarakat, melindungi umat Islam, pembalasan terhadap kafir yang memerangi kaum Muslim (Imron, 2007, hal. 41–47; Ramakrishna, 2005).</w:t>
      </w:r>
    </w:p>
    <w:p w14:paraId="6183741B" w14:textId="77777777" w:rsidR="009A69F5" w:rsidRPr="003E74FF" w:rsidRDefault="00844F89" w:rsidP="00FC31F4">
      <w:pPr>
        <w:spacing w:after="0"/>
        <w:ind w:firstLine="426"/>
        <w:contextualSpacing/>
        <w:jc w:val="both"/>
        <w:rPr>
          <w:rFonts w:ascii="Garamond" w:hAnsi="Garamond"/>
        </w:rPr>
      </w:pPr>
      <w:bookmarkStart w:id="2" w:name="_heading=h.30j0zll" w:colFirst="0" w:colLast="0"/>
      <w:bookmarkEnd w:id="2"/>
      <w:r w:rsidRPr="003E74FF">
        <w:rPr>
          <w:rFonts w:ascii="Garamond" w:hAnsi="Garamond"/>
        </w:rPr>
        <w:t>Imam Samudra dalam penjelasannya tentang bom Bali menjelaskan bahwa aksi yang dilakukan merupakan salah satu bentuk jawaban yang dilakukan segelintir kaum Muslimin yang sadar dan mengerti akan arti sebuah pembelaan dan harga diri atas kesewenangan negara penjajah sehingga menjadi jihad yang harus dilakukan (Adisaputra, 2006, hal. 62–69; Purwanto, 2004, hal. 53–55; Samudera, 2004, hal. 114–115).</w:t>
      </w:r>
    </w:p>
    <w:p w14:paraId="0B0A2261" w14:textId="77777777" w:rsidR="009A69F5" w:rsidRPr="003E74FF" w:rsidRDefault="00844F89" w:rsidP="00FC31F4">
      <w:pPr>
        <w:spacing w:after="0"/>
        <w:ind w:firstLine="426"/>
        <w:contextualSpacing/>
        <w:jc w:val="both"/>
        <w:rPr>
          <w:rFonts w:ascii="Garamond" w:hAnsi="Garamond"/>
        </w:rPr>
      </w:pPr>
      <w:r w:rsidRPr="003E74FF">
        <w:rPr>
          <w:rFonts w:ascii="Garamond" w:hAnsi="Garamond"/>
        </w:rPr>
        <w:lastRenderedPageBreak/>
        <w:t>Seseorang atau kelompok yang melakukan tindakan karena dipengaruhi adanya sumber-sumber radikalisme, tidak memandang bahwa aksinya tersebut sebagai sebuah kejahatan, tetapi justru muncul rasa kebanggaannya karena merasa telah menjadi pasukan yang memperjuangkan kebenaran apa yang diyakininya (Tyre, 1998). Kelompok-kelompok pejuang radikal ini seringkali menggunakan simbol-simbol militer dalam organisasi gerakannya seperti Irish of Republican Army (IRA) di Irlandia, Euskadi Ta Askatasuna</w:t>
      </w:r>
      <w:r w:rsidRPr="003E74FF">
        <w:rPr>
          <w:rFonts w:ascii="Garamond" w:hAnsi="Garamond"/>
          <w:i/>
        </w:rPr>
        <w:t xml:space="preserve"> </w:t>
      </w:r>
      <w:r w:rsidRPr="003E74FF">
        <w:rPr>
          <w:rFonts w:ascii="Garamond" w:hAnsi="Garamond"/>
        </w:rPr>
        <w:t>(ETA) di Spanyol, Hizbullah di Lebanon, Harakat al-Muqawama al-Islamiyyah (Hamas) di Palestina, Front Islamique du Salut (FIS) di Aljazair, Fuerzas Armadas Revolucionarias de Colombia (FARC) di Kolombia, The Moro National Liberation Front (MNLF) dan Abu Sayyaf Group (ASG) di Filipina, Al-Qaeda dan Taliban di Afghanistan (England &amp; Rudolph, 1988).</w:t>
      </w:r>
    </w:p>
    <w:p w14:paraId="1ED58C4D" w14:textId="77777777" w:rsidR="009A69F5" w:rsidRPr="003E74FF" w:rsidRDefault="00844F89" w:rsidP="00FC31F4">
      <w:pPr>
        <w:spacing w:after="0"/>
        <w:ind w:firstLine="426"/>
        <w:contextualSpacing/>
        <w:jc w:val="both"/>
        <w:rPr>
          <w:rFonts w:ascii="Garamond" w:hAnsi="Garamond"/>
        </w:rPr>
      </w:pPr>
      <w:r w:rsidRPr="003E74FF">
        <w:rPr>
          <w:rFonts w:ascii="Garamond" w:hAnsi="Garamond"/>
        </w:rPr>
        <w:t>Belum ada kesepakatan tunggal tentang hal-hal yang menjadi faktor penyebab lahirnya sikap dan tingkah laku radikal. Namun yang jelas radikalisme tidak dapat dipisahkan dengan tindakan kekerasan seperti terorisme. Paham radikal oleh berbagai negara termasuk Indonesia dianggap sebagai akar permasalahan munculnya terorisme. Hal demikian membutuhkan upaya penanganan melalui pemetaan faktor-faktor yang mempengaruhi radikalisasi gerakan. Setidaknya terdapat beberapa faktor kemunculan gerakan radikal, yaitu:</w:t>
      </w:r>
    </w:p>
    <w:p w14:paraId="01742E22" w14:textId="77777777" w:rsidR="009A69F5" w:rsidRPr="00F4483C" w:rsidRDefault="00844F89" w:rsidP="00F4483C">
      <w:pPr>
        <w:pStyle w:val="Heading2"/>
        <w:numPr>
          <w:ilvl w:val="0"/>
          <w:numId w:val="3"/>
        </w:numPr>
        <w:spacing w:before="120" w:line="276" w:lineRule="auto"/>
        <w:ind w:left="284" w:hanging="284"/>
        <w:rPr>
          <w:rFonts w:ascii="Garamond" w:eastAsia="Calibri" w:hAnsi="Garamond" w:cs="Calibri"/>
          <w:bCs w:val="0"/>
          <w:i/>
          <w:iCs/>
          <w:color w:val="000000"/>
          <w:sz w:val="22"/>
          <w:szCs w:val="22"/>
        </w:rPr>
      </w:pPr>
      <w:r w:rsidRPr="00F4483C">
        <w:rPr>
          <w:rFonts w:ascii="Garamond" w:eastAsia="Calibri" w:hAnsi="Garamond" w:cs="Calibri"/>
          <w:bCs w:val="0"/>
          <w:i/>
          <w:iCs/>
          <w:color w:val="000000"/>
          <w:sz w:val="22"/>
          <w:szCs w:val="22"/>
        </w:rPr>
        <w:t xml:space="preserve">Faktor Politik </w:t>
      </w:r>
    </w:p>
    <w:p w14:paraId="611A7EC1" w14:textId="77777777" w:rsidR="009A69F5" w:rsidRPr="003E74FF" w:rsidRDefault="00844F89" w:rsidP="00F4483C">
      <w:pPr>
        <w:spacing w:after="0"/>
        <w:ind w:left="284" w:firstLine="426"/>
        <w:contextualSpacing/>
        <w:jc w:val="both"/>
        <w:rPr>
          <w:rFonts w:ascii="Garamond" w:hAnsi="Garamond"/>
        </w:rPr>
      </w:pPr>
      <w:r w:rsidRPr="003E74FF">
        <w:rPr>
          <w:rFonts w:ascii="Garamond" w:hAnsi="Garamond"/>
        </w:rPr>
        <w:t xml:space="preserve">Faktor utama seseorang dapat melakukan tindak kekerasan bahkan menjadi seorang teroris adalah dorongan konflik politik atau kekuasaan. Persoalan politik setidaknya menyangkut isu ketidakadilan, kesenjangan sosial, serta ketidakmampuan penguasa mempertemukan antara gagasan nasionalisme dengan pemikiran politik Islam (Ali, 2014, hal. 50). Ketidakpuasan terhadap gagalnya mewujudkan kesejahteraan dalam lingkup lokal, regional, maupun internasional mendorong lahirnya gerakan baru yang radikal untuk mengubah sistem politik tertentu. </w:t>
      </w:r>
    </w:p>
    <w:p w14:paraId="507D98FE" w14:textId="77777777" w:rsidR="009A69F5" w:rsidRPr="003E74FF" w:rsidRDefault="00844F89" w:rsidP="00F4483C">
      <w:pPr>
        <w:spacing w:after="0"/>
        <w:ind w:left="284" w:firstLine="426"/>
        <w:contextualSpacing/>
        <w:jc w:val="both"/>
        <w:rPr>
          <w:rFonts w:ascii="Garamond" w:hAnsi="Garamond"/>
        </w:rPr>
      </w:pPr>
      <w:r w:rsidRPr="003E74FF">
        <w:rPr>
          <w:rFonts w:ascii="Garamond" w:hAnsi="Garamond"/>
        </w:rPr>
        <w:t xml:space="preserve">Embrio ketidakpuasan politik yang kemudian menjadi gerakan politik Islam ditandai dengan gagasan Hasan al-Banna dan Sayyid Quthb melalui pendirian organisasi Ikhwanul Muslimin (IM) pada April 1928 di Mesir (Ayubi, 1991). Kemunculan IM dilandasi pandangan bahwa Islam adalah sistem pemikiran global dan menyeluruh yang sangat maju dan modern di atas sistem-sistem lain sehingga harus diwujudkan dalam bentuk negara Islam (Roy, 1996, hal. 43). Gerakan IM berpandangan </w:t>
      </w:r>
      <w:r w:rsidRPr="003E74FF">
        <w:rPr>
          <w:rFonts w:ascii="Garamond" w:hAnsi="Garamond"/>
        </w:rPr>
        <w:lastRenderedPageBreak/>
        <w:t>bahwa negara tidak cukup hanya diisi orang-orang Islam, tetapi perlu adanya konstitusi berdasarkan syariat Islam untuk menjamin masyarakat yang adil dan sejahtera (Yakan, 2002, hal. 12–13).</w:t>
      </w:r>
    </w:p>
    <w:p w14:paraId="7D631645" w14:textId="77777777" w:rsidR="009A69F5" w:rsidRPr="003E74FF" w:rsidRDefault="00844F89" w:rsidP="00F4483C">
      <w:pPr>
        <w:spacing w:after="0"/>
        <w:ind w:left="284" w:firstLine="426"/>
        <w:contextualSpacing/>
        <w:jc w:val="both"/>
        <w:rPr>
          <w:rFonts w:ascii="Garamond" w:hAnsi="Garamond"/>
        </w:rPr>
      </w:pPr>
      <w:r w:rsidRPr="003E74FF">
        <w:rPr>
          <w:rFonts w:ascii="Garamond" w:hAnsi="Garamond"/>
        </w:rPr>
        <w:t xml:space="preserve">Hubungan IM dengan pemerintahan Mesir mengalami pasang surut. Pada 8 November 1948, Perdana Menteri Mesir </w:t>
      </w:r>
      <w:r w:rsidRPr="003E74FF">
        <w:rPr>
          <w:rFonts w:ascii="Garamond" w:hAnsi="Garamond"/>
          <w:highlight w:val="white"/>
        </w:rPr>
        <w:t xml:space="preserve">Mahmud Fahmi al-Nuqrashi </w:t>
      </w:r>
      <w:r w:rsidRPr="003E74FF">
        <w:rPr>
          <w:rFonts w:ascii="Garamond" w:hAnsi="Garamond"/>
        </w:rPr>
        <w:t>mengeluarkan keputusan pembubaran IM karena terlibat dalam aksi anti-pemerintah. Ketegangan pemerintah Mesir dengan IM semakin memuncak setelah terbunuhnya Hasan al-Banna pada 12 Februari 1949, dan Kabinet An-Nuhas memberikan keputusan bahwa perintah pembubaran IM tidak sah pada 1950. IM kemudian menyebarkan pengaruhnya ke semua lapisan masyarakat Mesir, dan bersama para perwira militer Mesir seperti Muhammad Najib melakukan kudeta militer terhadap Kekuasaan Raja Farouk yang dikenal dengan Revolusi Juli 1952. Pada 1954, pemerintah Mesir melakukan penahanan sekaligus hukuman mati terhadap para pimpinan IM, seperti Abdul Qadir ‘Audah, dengan tuduhan melakukan upaya pembunuhan terhadap Abdul Nasser (Lenczowski, 1993, hal. 309–310).</w:t>
      </w:r>
    </w:p>
    <w:p w14:paraId="5D5A58A4" w14:textId="77777777" w:rsidR="009A69F5" w:rsidRPr="003E74FF" w:rsidRDefault="00844F89" w:rsidP="00F4483C">
      <w:pPr>
        <w:spacing w:after="0"/>
        <w:ind w:left="284" w:firstLine="426"/>
        <w:contextualSpacing/>
        <w:jc w:val="both"/>
        <w:rPr>
          <w:rFonts w:ascii="Garamond" w:hAnsi="Garamond"/>
        </w:rPr>
      </w:pPr>
      <w:r w:rsidRPr="003E74FF">
        <w:rPr>
          <w:rFonts w:ascii="Garamond" w:hAnsi="Garamond"/>
        </w:rPr>
        <w:t xml:space="preserve">Semenjak pemerintah Mesir melakukan penahanan sekaligus hukuman mati terhadap para pemimpinnya, IM mengalami perpecahan. Di satu sisi terdapat kelompok mayoritas yang menghendaki moderasi gerakan di bawah pimpinan Hasan Hudaibi, dan di pihak lain terhadap kelompok yang menghendaki penggunaan kekerasan yang dipimpin Sayyid Quthb. Di kemudian hari  Quthb, </w:t>
      </w:r>
      <w:r w:rsidRPr="00F4483C">
        <w:rPr>
          <w:rFonts w:ascii="Garamond" w:hAnsi="Garamond"/>
        </w:rPr>
        <w:t>Yusuf</w:t>
      </w:r>
      <w:r w:rsidRPr="003E74FF">
        <w:rPr>
          <w:rFonts w:ascii="Garamond" w:hAnsi="Garamond"/>
          <w:highlight w:val="white"/>
        </w:rPr>
        <w:t xml:space="preserve"> Hawasi, dan Abdul Fatah Ismail dijatuhi hukuman mati.</w:t>
      </w:r>
      <w:r w:rsidRPr="003E74FF">
        <w:rPr>
          <w:rFonts w:ascii="Garamond" w:hAnsi="Garamond"/>
        </w:rPr>
        <w:t xml:space="preserve"> IM pun beroperasi secara rahasia sampai meninggalnya Presiden Abdul Nasser pada 28 Februari 1970. Salah satu ide pokok Sayyid Quthb adalah pandangan bahwa </w:t>
      </w:r>
      <w:r w:rsidRPr="003E74FF">
        <w:rPr>
          <w:rFonts w:ascii="Garamond" w:hAnsi="Garamond"/>
          <w:shd w:val="clear" w:color="auto" w:fill="FCFCFC"/>
        </w:rPr>
        <w:t xml:space="preserve">tidak ada </w:t>
      </w:r>
      <w:r w:rsidRPr="003E74FF">
        <w:rPr>
          <w:rFonts w:ascii="Garamond" w:hAnsi="Garamond"/>
          <w:i/>
          <w:shd w:val="clear" w:color="auto" w:fill="FCFCFC"/>
        </w:rPr>
        <w:t xml:space="preserve">hakimiyah </w:t>
      </w:r>
      <w:r w:rsidRPr="003E74FF">
        <w:rPr>
          <w:rFonts w:ascii="Garamond" w:hAnsi="Garamond"/>
          <w:shd w:val="clear" w:color="auto" w:fill="FCFCFC"/>
        </w:rPr>
        <w:t>(kedaulatan) selain kedaulatan Allah berdasarkan al-Qur’an, sehingga</w:t>
      </w:r>
      <w:r w:rsidRPr="003E74FF">
        <w:rPr>
          <w:rFonts w:ascii="Garamond" w:hAnsi="Garamond"/>
        </w:rPr>
        <w:t xml:space="preserve"> masyarakat Islam yang belum bergabung dengan </w:t>
      </w:r>
      <w:r w:rsidRPr="003E74FF">
        <w:rPr>
          <w:rFonts w:ascii="Garamond" w:hAnsi="Garamond"/>
          <w:i/>
        </w:rPr>
        <w:t>ikhwan</w:t>
      </w:r>
      <w:r w:rsidRPr="003E74FF">
        <w:rPr>
          <w:rFonts w:ascii="Garamond" w:hAnsi="Garamond"/>
        </w:rPr>
        <w:t xml:space="preserve"> merupakan kelompok </w:t>
      </w:r>
      <w:r w:rsidRPr="003E74FF">
        <w:rPr>
          <w:rFonts w:ascii="Garamond" w:hAnsi="Garamond"/>
          <w:i/>
        </w:rPr>
        <w:t xml:space="preserve">jahiliyah </w:t>
      </w:r>
      <w:r w:rsidRPr="003E74FF">
        <w:rPr>
          <w:rFonts w:ascii="Garamond" w:hAnsi="Garamond"/>
        </w:rPr>
        <w:t xml:space="preserve">atau kafir sehingga dibolehkan untuk diperangi (Hunter, 2003; Irfani, 2014). </w:t>
      </w:r>
    </w:p>
    <w:p w14:paraId="6E0763EB" w14:textId="77777777" w:rsidR="009A69F5" w:rsidRPr="003E74FF" w:rsidRDefault="00844F89" w:rsidP="00F4483C">
      <w:pPr>
        <w:spacing w:after="0"/>
        <w:ind w:left="284" w:firstLine="426"/>
        <w:contextualSpacing/>
        <w:jc w:val="both"/>
        <w:rPr>
          <w:rFonts w:ascii="Garamond" w:hAnsi="Garamond"/>
        </w:rPr>
      </w:pPr>
      <w:r w:rsidRPr="003E74FF">
        <w:rPr>
          <w:rFonts w:ascii="Garamond" w:hAnsi="Garamond"/>
        </w:rPr>
        <w:t xml:space="preserve">Perjuangan IM yang didasari ideologi Sayyid Quthb berkembang ke negara yang belum mampu mewujudkan kesejahteraan rakyatnya. Gerakan-gerakan islamisme yang berjuang di bidang politik pada akhirnya menjadi kelompok oposisi dan berjuang secara gerilya menghadapi penguasa. Hal demikian terjadi sebagai akibat belum mampu mendamaikan hubungan antara agama dan negara. Menurut Lewis Alfred </w:t>
      </w:r>
      <w:r w:rsidRPr="003E74FF">
        <w:rPr>
          <w:rFonts w:ascii="Garamond" w:hAnsi="Garamond"/>
        </w:rPr>
        <w:lastRenderedPageBreak/>
        <w:t>Coser, gerakan islamisme menjadi kelompok subordinat dari penguasa. Hal tersebut mendorong penguasa dan gerakan islamisme saling melakukan aksi kekerasan untuk membungkam aktivitas ideologi dan politik (Adian, 2003, hal. 80–81). Pada dasarnya terorisme muncul sebagai bentuk perlawanan terhadap pemerintahan yang berkuasa maupun perlawanan atas kebijakan terhadap negara yang dianggap tidak adil (Crenshaw, 1981).</w:t>
      </w:r>
    </w:p>
    <w:p w14:paraId="2C910E22" w14:textId="77777777" w:rsidR="009A69F5" w:rsidRPr="003E74FF" w:rsidRDefault="00844F89" w:rsidP="00F4483C">
      <w:pPr>
        <w:spacing w:after="0"/>
        <w:ind w:left="284" w:firstLine="426"/>
        <w:contextualSpacing/>
        <w:jc w:val="both"/>
        <w:rPr>
          <w:rFonts w:ascii="Garamond" w:hAnsi="Garamond"/>
        </w:rPr>
      </w:pPr>
      <w:r w:rsidRPr="003E74FF">
        <w:rPr>
          <w:rFonts w:ascii="Garamond" w:hAnsi="Garamond"/>
        </w:rPr>
        <w:t xml:space="preserve">Invasi Uni Soviet ke Afganistan pada 1979 mendorong gelombang jihad dari berbagai negara. Seruan jihad ke Afganistan sangat dipengaruhi peranan Abdullah Azzam yang menjadi pengajar di Universitas King Abdul Aziz, Jeddah, Arab Saudi (As-Sibai, 2005, hal. 47). Azzam membangun pusat pelatihan militer sekaligus pusat komando dan kamp-kamp pelatihan militer bagi para mujahidin dari berbagai negara di Peshawar (Roy, 1990, hal. 191). Kaum Mujahidin asal Indonesia yang berangkat ke Afghanistan sekitar 3.000 orang terbagi atas tiga fraksi, yaitu kamp Gulbuddin Hekmatyar dengan asal ormas dari Darul Islam, kamp Burhanuddin Rabbani dengan asal mujahidin </w:t>
      </w:r>
      <w:r w:rsidRPr="003E74FF">
        <w:rPr>
          <w:rFonts w:ascii="Garamond" w:hAnsi="Garamond"/>
          <w:i/>
        </w:rPr>
        <w:t>freelance</w:t>
      </w:r>
      <w:r w:rsidRPr="003E74FF">
        <w:rPr>
          <w:rFonts w:ascii="Garamond" w:hAnsi="Garamond"/>
        </w:rPr>
        <w:t>, dan kamp Rasul Sayyaf dengan asal ormas NII Banten serta para anggota binaan Abdullah Sungkar (Ali, 2014, hal. 72–73).</w:t>
      </w:r>
    </w:p>
    <w:p w14:paraId="53D7E739" w14:textId="77777777" w:rsidR="009A69F5" w:rsidRPr="003E74FF" w:rsidRDefault="00844F89" w:rsidP="00F4483C">
      <w:pPr>
        <w:spacing w:after="0"/>
        <w:ind w:left="284" w:firstLine="426"/>
        <w:contextualSpacing/>
        <w:jc w:val="both"/>
        <w:rPr>
          <w:rFonts w:ascii="Garamond" w:hAnsi="Garamond"/>
        </w:rPr>
      </w:pPr>
      <w:r w:rsidRPr="003E74FF">
        <w:rPr>
          <w:rFonts w:ascii="Garamond" w:hAnsi="Garamond"/>
        </w:rPr>
        <w:t>Berakhirnya pendudukan Uni Soviet atas Afganistan menjadikan para mujahidin Indonesia tersebar ke berbagai negara konflik semacam Bosnia dan Chechnya. Ada juga yang kembali ke tanah air. Pengikut Abdullah Sungkar sebagian melakukan hijrah ke negara-Pakistan untuk membantu pejuang Kashmir memisahkan diri dari India sekaligus membangun organisasi baru bernama Jamaah Islamiyah yang berbasis di Johor Bahru, Malaysia (Shahzad, 2011, hal. 206–207). Masing-masing mencari bentuk identitas sosialnya dalam melanjutkan semangat jihad dan rasa solidaritas umat muslim.</w:t>
      </w:r>
    </w:p>
    <w:p w14:paraId="1CCE4A61" w14:textId="77777777" w:rsidR="009A69F5" w:rsidRPr="00F4483C" w:rsidRDefault="00844F89" w:rsidP="00F4483C">
      <w:pPr>
        <w:pStyle w:val="Heading2"/>
        <w:numPr>
          <w:ilvl w:val="0"/>
          <w:numId w:val="3"/>
        </w:numPr>
        <w:spacing w:before="120" w:line="276" w:lineRule="auto"/>
        <w:ind w:left="284" w:hanging="284"/>
        <w:rPr>
          <w:rFonts w:ascii="Garamond" w:eastAsia="Calibri" w:hAnsi="Garamond" w:cs="Calibri"/>
          <w:bCs w:val="0"/>
          <w:i/>
          <w:iCs/>
          <w:color w:val="000000"/>
          <w:sz w:val="22"/>
          <w:szCs w:val="22"/>
        </w:rPr>
      </w:pPr>
      <w:r w:rsidRPr="00F4483C">
        <w:rPr>
          <w:rFonts w:ascii="Garamond" w:eastAsia="Calibri" w:hAnsi="Garamond" w:cs="Calibri"/>
          <w:bCs w:val="0"/>
          <w:i/>
          <w:iCs/>
          <w:color w:val="000000"/>
          <w:sz w:val="22"/>
          <w:szCs w:val="22"/>
        </w:rPr>
        <w:t>Pemahaman Agama yang Tekstual</w:t>
      </w:r>
    </w:p>
    <w:p w14:paraId="31082875" w14:textId="77777777" w:rsidR="009A69F5" w:rsidRPr="003E74FF" w:rsidRDefault="00844F89" w:rsidP="00F4483C">
      <w:pPr>
        <w:spacing w:after="0"/>
        <w:ind w:left="284" w:firstLine="426"/>
        <w:contextualSpacing/>
        <w:jc w:val="both"/>
        <w:rPr>
          <w:rFonts w:ascii="Garamond" w:eastAsia="Calibri" w:hAnsi="Garamond" w:cs="Calibri"/>
          <w:color w:val="000000"/>
        </w:rPr>
      </w:pPr>
      <w:r w:rsidRPr="003E74FF">
        <w:rPr>
          <w:rFonts w:ascii="Garamond" w:eastAsia="Calibri" w:hAnsi="Garamond" w:cs="Calibri"/>
          <w:color w:val="000000"/>
        </w:rPr>
        <w:t xml:space="preserve">Pemahaman tekstual atau penafsiran berdasarkan makna kata dari teks yang ada seringkali dikaitkan </w:t>
      </w:r>
      <w:r w:rsidRPr="00F4483C">
        <w:rPr>
          <w:rFonts w:ascii="Garamond" w:hAnsi="Garamond"/>
        </w:rPr>
        <w:t>dengan</w:t>
      </w:r>
      <w:r w:rsidRPr="003E74FF">
        <w:rPr>
          <w:rFonts w:ascii="Garamond" w:eastAsia="Calibri" w:hAnsi="Garamond" w:cs="Calibri"/>
          <w:color w:val="000000"/>
        </w:rPr>
        <w:t xml:space="preserve"> dalil tidak ada hukum kecuali dari Allah (</w:t>
      </w:r>
      <w:r w:rsidRPr="003E74FF">
        <w:rPr>
          <w:rFonts w:ascii="Garamond" w:eastAsia="Calibri" w:hAnsi="Garamond" w:cs="Calibri"/>
          <w:i/>
          <w:color w:val="000000"/>
        </w:rPr>
        <w:t>lā hukma illa lillāh</w:t>
      </w:r>
      <w:r w:rsidRPr="003E74FF">
        <w:rPr>
          <w:rFonts w:ascii="Garamond" w:eastAsia="Calibri" w:hAnsi="Garamond" w:cs="Calibri"/>
          <w:color w:val="000000"/>
        </w:rPr>
        <w:t xml:space="preserve">), dan barangsiapa yang menggunakan hukum selain dari Allah adalah kafir (Lihat Fauzan &amp; Fata, 2019). Dalam sejarah Islam awal, dalil tersebut telah digunakan oleh kelompok Khawarij untuk menghakimi Ali bin Abi Thalib, ‘Amr bin Ash, </w:t>
      </w:r>
      <w:r w:rsidRPr="003E74FF">
        <w:rPr>
          <w:rFonts w:ascii="Garamond" w:hAnsi="Garamond"/>
        </w:rPr>
        <w:t>Muawiyah</w:t>
      </w:r>
      <w:r w:rsidRPr="003E74FF">
        <w:rPr>
          <w:rFonts w:ascii="Garamond" w:eastAsia="Calibri" w:hAnsi="Garamond" w:cs="Calibri"/>
          <w:color w:val="000000"/>
        </w:rPr>
        <w:t xml:space="preserve"> bin Abi Sufyan, dan Abu Musa al-Asy’ari yang melakukan </w:t>
      </w:r>
      <w:r w:rsidRPr="003E74FF">
        <w:rPr>
          <w:rFonts w:ascii="Garamond" w:eastAsia="Calibri" w:hAnsi="Garamond" w:cs="Calibri"/>
          <w:i/>
          <w:color w:val="000000"/>
        </w:rPr>
        <w:lastRenderedPageBreak/>
        <w:t>tahkīm</w:t>
      </w:r>
      <w:r w:rsidRPr="003E74FF">
        <w:rPr>
          <w:rFonts w:ascii="Garamond" w:eastAsia="Calibri" w:hAnsi="Garamond" w:cs="Calibri"/>
          <w:color w:val="000000"/>
        </w:rPr>
        <w:t xml:space="preserve"> (perdamaian) Muhammad Abū Zahrah, Tārīkh al-Madhāhib al-Islāmiyah (Cairo: Dār el-Fikr al-‘Arabi, n.d.); Abu&gt; Ja’far </w:t>
      </w:r>
      <w:r w:rsidRPr="003E74FF">
        <w:rPr>
          <w:rFonts w:ascii="Garamond" w:hAnsi="Garamond"/>
        </w:rPr>
        <w:t>Muhammad</w:t>
      </w:r>
      <w:r w:rsidRPr="003E74FF">
        <w:rPr>
          <w:rFonts w:ascii="Garamond" w:eastAsia="Calibri" w:hAnsi="Garamond" w:cs="Calibri"/>
          <w:color w:val="000000"/>
        </w:rPr>
        <w:t xml:space="preserve"> ibn Jarīr al- T{abarī, Tārīkh al-</w:t>
      </w:r>
      <w:r w:rsidRPr="003E74FF">
        <w:rPr>
          <w:rFonts w:ascii="Garamond" w:hAnsi="Garamond"/>
        </w:rPr>
        <w:t>Tarikh</w:t>
      </w:r>
      <w:r w:rsidRPr="003E74FF">
        <w:rPr>
          <w:rFonts w:ascii="Garamond" w:eastAsia="Calibri" w:hAnsi="Garamond" w:cs="Calibri"/>
          <w:color w:val="000000"/>
        </w:rPr>
        <w:t xml:space="preserve"> al-Rasūl wa al-</w:t>
      </w:r>
      <w:r w:rsidRPr="003E74FF">
        <w:rPr>
          <w:rFonts w:ascii="Garamond" w:hAnsi="Garamond"/>
        </w:rPr>
        <w:t>Mulk</w:t>
      </w:r>
      <w:r w:rsidRPr="003E74FF">
        <w:rPr>
          <w:rFonts w:ascii="Garamond" w:eastAsia="Calibri" w:hAnsi="Garamond" w:cs="Calibri"/>
          <w:color w:val="000000"/>
        </w:rPr>
        <w:t xml:space="preserve">, Juz III (Cairo: Dār al-Ma’ārif, 1963).. Golongan </w:t>
      </w:r>
      <w:r w:rsidRPr="003E74FF">
        <w:rPr>
          <w:rFonts w:ascii="Garamond" w:hAnsi="Garamond"/>
        </w:rPr>
        <w:t>menolak</w:t>
      </w:r>
      <w:r w:rsidRPr="003E74FF">
        <w:rPr>
          <w:rFonts w:ascii="Garamond" w:eastAsia="Calibri" w:hAnsi="Garamond" w:cs="Calibri"/>
          <w:color w:val="000000"/>
        </w:rPr>
        <w:t xml:space="preserve"> </w:t>
      </w:r>
      <w:r w:rsidRPr="003E74FF">
        <w:rPr>
          <w:rFonts w:ascii="Garamond" w:hAnsi="Garamond"/>
          <w:i/>
        </w:rPr>
        <w:t>tahkim</w:t>
      </w:r>
      <w:r w:rsidRPr="003E74FF">
        <w:rPr>
          <w:rFonts w:ascii="Garamond" w:eastAsia="Calibri" w:hAnsi="Garamond" w:cs="Calibri"/>
          <w:color w:val="000000"/>
        </w:rPr>
        <w:t xml:space="preserve"> tersebut menganggap bahwa langkah damai tidak sesuai dengan hukum Allah sehingga keluar dari barisan Ali dalam musyawarah perdamaian di Daumatul Jandal. Aksi kaum penolak yang dipimpin oleh Abdullah Ibn Wahab Al-Rasyidi dengan jumlah 12.000 pasukan itu berlanjut dengan </w:t>
      </w:r>
      <w:r w:rsidRPr="003E74FF">
        <w:rPr>
          <w:rFonts w:ascii="Garamond" w:hAnsi="Garamond"/>
        </w:rPr>
        <w:t>mengkafirkan</w:t>
      </w:r>
      <w:r w:rsidRPr="003E74FF">
        <w:rPr>
          <w:rFonts w:ascii="Garamond" w:eastAsia="Calibri" w:hAnsi="Garamond" w:cs="Calibri"/>
          <w:color w:val="000000"/>
        </w:rPr>
        <w:t xml:space="preserve"> para sahabat senior (Azra, 1996, hal. 112–113; Hitti, 1974, hal. 181–183; Nasution, 1991, hal. 23).</w:t>
      </w:r>
    </w:p>
    <w:p w14:paraId="2104D358" w14:textId="77777777" w:rsidR="009A69F5" w:rsidRPr="003E74FF" w:rsidRDefault="00844F89" w:rsidP="00F4483C">
      <w:pPr>
        <w:spacing w:after="0"/>
        <w:ind w:left="284" w:firstLine="426"/>
        <w:contextualSpacing/>
        <w:jc w:val="both"/>
        <w:rPr>
          <w:rFonts w:ascii="Garamond" w:eastAsia="Calibri" w:hAnsi="Garamond" w:cs="Calibri"/>
          <w:color w:val="000000"/>
        </w:rPr>
      </w:pPr>
      <w:r w:rsidRPr="003E74FF">
        <w:rPr>
          <w:rFonts w:ascii="Garamond" w:eastAsia="Calibri" w:hAnsi="Garamond" w:cs="Calibri"/>
          <w:color w:val="000000"/>
        </w:rPr>
        <w:t xml:space="preserve">Metode memahami pemahaman dalil secara tekstual dengan menolak pendekatan-pendekatan lainnya </w:t>
      </w:r>
      <w:r w:rsidRPr="00F4483C">
        <w:rPr>
          <w:rFonts w:ascii="Garamond" w:hAnsi="Garamond"/>
        </w:rPr>
        <w:t>menjadikan</w:t>
      </w:r>
      <w:r w:rsidRPr="003E74FF">
        <w:rPr>
          <w:rFonts w:ascii="Garamond" w:eastAsia="Calibri" w:hAnsi="Garamond" w:cs="Calibri"/>
          <w:color w:val="000000"/>
        </w:rPr>
        <w:t xml:space="preserve"> kelompok ini cenderung bersifat eksklusif dan fanatik. Kelompok literalis ini tidak bersahabat dengan kelompok di luar bagiannya serta selalu berfikir negatif dengan kelompok lain. Bersikap keras atas kekafiran seharusnya bukan dengan menyerang fisik orang kafir, tetapi pemahaman untuk melawan nilai-nilai kekafiran dalam konteks toleransi, yaitu ketidakadilan, dan kediktatoran dalam masyarakat (Esack, 1997, hal. 134–140; Fata, 2018).</w:t>
      </w:r>
    </w:p>
    <w:p w14:paraId="512C8B58" w14:textId="77777777" w:rsidR="009A69F5" w:rsidRPr="00F4483C" w:rsidRDefault="00844F89" w:rsidP="00F4483C">
      <w:pPr>
        <w:pStyle w:val="Heading2"/>
        <w:numPr>
          <w:ilvl w:val="0"/>
          <w:numId w:val="3"/>
        </w:numPr>
        <w:spacing w:before="120" w:line="276" w:lineRule="auto"/>
        <w:ind w:left="284" w:hanging="284"/>
        <w:rPr>
          <w:rFonts w:ascii="Garamond" w:eastAsia="Calibri" w:hAnsi="Garamond" w:cs="Calibri"/>
          <w:bCs w:val="0"/>
          <w:i/>
          <w:iCs/>
          <w:color w:val="000000"/>
          <w:sz w:val="22"/>
          <w:szCs w:val="22"/>
        </w:rPr>
      </w:pPr>
      <w:r w:rsidRPr="00F4483C">
        <w:rPr>
          <w:rFonts w:ascii="Garamond" w:eastAsia="Calibri" w:hAnsi="Garamond" w:cs="Calibri"/>
          <w:bCs w:val="0"/>
          <w:i/>
          <w:iCs/>
          <w:color w:val="000000"/>
          <w:sz w:val="22"/>
          <w:szCs w:val="22"/>
        </w:rPr>
        <w:t>Ketidakadilan Sosial dan Ekonomi</w:t>
      </w:r>
    </w:p>
    <w:p w14:paraId="34EA8789" w14:textId="77777777" w:rsidR="009A69F5" w:rsidRPr="003E74FF" w:rsidRDefault="00844F89" w:rsidP="00F4483C">
      <w:pPr>
        <w:spacing w:after="0"/>
        <w:ind w:left="284" w:firstLine="426"/>
        <w:contextualSpacing/>
        <w:jc w:val="both"/>
        <w:rPr>
          <w:rFonts w:ascii="Garamond" w:hAnsi="Garamond"/>
        </w:rPr>
      </w:pPr>
      <w:r w:rsidRPr="003E74FF">
        <w:rPr>
          <w:rFonts w:ascii="Garamond" w:hAnsi="Garamond"/>
        </w:rPr>
        <w:t>Diskriminasi dan ketimpangan sosial-ekonomi memiliki korelasi yang tinggi dengan tindak terorisme karena jelasnya unsur ketidakadilan. Sukawarsini Djelantik dan para tokoh ekonomi mengindikasikan adanya keterkaitan antara kemiskinan dan tingkat terjadinya konflik (Alesina et al., 1996; Djelantik, 2010, hal. 479). Kemiskinan sebagai pemicu konflik atau aksi terorisme tentu bukan saja keadaan miskin yang dialami oleh pelaku, namun juga sebagai efek solidaritas sosial yang terjadi dalam sistem penindasan ekonomi berupa kemiskinan yang terjadi pada komunitas di tempat pelaku konflik atau aksi terorisme berada.</w:t>
      </w:r>
    </w:p>
    <w:p w14:paraId="245E6112" w14:textId="77777777" w:rsidR="009A69F5" w:rsidRPr="003E74FF" w:rsidRDefault="00844F89" w:rsidP="00F4483C">
      <w:pPr>
        <w:spacing w:after="0"/>
        <w:ind w:left="284" w:firstLine="426"/>
        <w:contextualSpacing/>
        <w:jc w:val="both"/>
        <w:rPr>
          <w:rFonts w:ascii="Garamond" w:hAnsi="Garamond"/>
          <w:shd w:val="clear" w:color="auto" w:fill="EFEFEF"/>
        </w:rPr>
      </w:pPr>
      <w:r w:rsidRPr="003E74FF">
        <w:rPr>
          <w:rFonts w:ascii="Garamond" w:hAnsi="Garamond"/>
        </w:rPr>
        <w:t xml:space="preserve">Ketimpangan ekonomi antara kelompok miskin dan kaya atau negara maju dengan negara berkembang dalam globalisasi ekonomi akan semakin membangkitkan terjadinya tindak kekerasan, demikian juga perubahan ekonomi mampu menciptakan kondisi yang kondusif dari perkembangan ideologi-ideologi ekstrem. Terorisme menjadi suatu alat yang dipergunakan oleh orang yang miskin, lemah, dan tertindas untuk mengadakan perlawanan karena adanya kecemasan dan ketakutan </w:t>
      </w:r>
      <w:r w:rsidRPr="003E74FF">
        <w:rPr>
          <w:rFonts w:ascii="Garamond" w:hAnsi="Garamond"/>
        </w:rPr>
        <w:lastRenderedPageBreak/>
        <w:t>menghadapi diskriminasi atau mengalami keputusasaan karena merasa tidak dihargai (Lutz &amp; Lutz, 2004, hal. 18–19; Sunarko, 2006, hal. 31). Problem ekonomi mudah dijadikan bahan propaganda untuk menggerakkan masyarakat.</w:t>
      </w:r>
    </w:p>
    <w:p w14:paraId="53BEC242" w14:textId="77777777" w:rsidR="009A69F5" w:rsidRPr="003E74FF" w:rsidRDefault="00844F89" w:rsidP="00F4483C">
      <w:pPr>
        <w:spacing w:after="0"/>
        <w:ind w:left="284" w:firstLine="426"/>
        <w:contextualSpacing/>
        <w:jc w:val="both"/>
        <w:rPr>
          <w:rFonts w:ascii="Garamond" w:hAnsi="Garamond"/>
        </w:rPr>
      </w:pPr>
      <w:r w:rsidRPr="003E74FF">
        <w:rPr>
          <w:rFonts w:ascii="Garamond" w:hAnsi="Garamond"/>
        </w:rPr>
        <w:t>Terorisme tidak akan selesai jika masih ada perlakuan ketidakadilan negara maju atau adikuasa terhadap negara-negara berkembang, sebagaimana perlakuan terhadap Afghanistan dan Irak oleh Amerika Serikat, dan status kemerdekaan negara Palestina oleh Israel. Bentuk perlawanannya, para alumni perang Afghanistan di Indonesia melakukan pengeboman di Paddy’s Club dan Sari Club di Bali karena banyak dikunjungi turis Amerika dan sekutunya, untuk mengimbangi pembunuhan ribuan umat Islam di Afghanistan dan Irak itu sendiri (Samudera, 2004, hal. 135–147). Pengeboman menjadi pilihan jihad sebagai pengaruh perkembangan geopolitik global yang penuh ketidakadilan (Arubusman, 2006, hal. 2; Gunawan, 2006, hal. 14; Hendropriyono, 2009, hal. 163–164).</w:t>
      </w:r>
    </w:p>
    <w:p w14:paraId="582F4C32" w14:textId="77777777" w:rsidR="009A69F5" w:rsidRPr="00F4483C" w:rsidRDefault="00844F89" w:rsidP="00F4483C">
      <w:pPr>
        <w:pStyle w:val="Heading2"/>
        <w:numPr>
          <w:ilvl w:val="0"/>
          <w:numId w:val="3"/>
        </w:numPr>
        <w:spacing w:before="120" w:line="276" w:lineRule="auto"/>
        <w:ind w:left="284" w:hanging="284"/>
        <w:rPr>
          <w:rFonts w:ascii="Garamond" w:eastAsia="Calibri" w:hAnsi="Garamond" w:cs="Calibri"/>
          <w:bCs w:val="0"/>
          <w:i/>
          <w:iCs/>
          <w:color w:val="000000"/>
          <w:sz w:val="22"/>
          <w:szCs w:val="22"/>
        </w:rPr>
      </w:pPr>
      <w:r w:rsidRPr="00F4483C">
        <w:rPr>
          <w:rFonts w:ascii="Garamond" w:eastAsia="Calibri" w:hAnsi="Garamond" w:cs="Calibri"/>
          <w:bCs w:val="0"/>
          <w:i/>
          <w:iCs/>
          <w:color w:val="000000"/>
          <w:sz w:val="22"/>
          <w:szCs w:val="22"/>
        </w:rPr>
        <w:t>Peran Media Sosial</w:t>
      </w:r>
    </w:p>
    <w:p w14:paraId="298AFB6C" w14:textId="77777777" w:rsidR="009A69F5" w:rsidRPr="003E74FF" w:rsidRDefault="00844F89" w:rsidP="00F4483C">
      <w:pPr>
        <w:spacing w:after="0"/>
        <w:ind w:left="284" w:firstLine="426"/>
        <w:contextualSpacing/>
        <w:jc w:val="both"/>
        <w:rPr>
          <w:rFonts w:ascii="Garamond" w:hAnsi="Garamond"/>
        </w:rPr>
      </w:pPr>
      <w:r w:rsidRPr="003E74FF">
        <w:rPr>
          <w:rFonts w:ascii="Garamond" w:hAnsi="Garamond"/>
        </w:rPr>
        <w:t>Sejak adanya peristiwa Bom Bali I dan II, yang kemudian disusul ledakan bom di Kedutaan Besar Australia, Hotel JW Marriot, dan Hotel Ritz Carlton dinyatakan sebagai aksi terorisme, maka setiap adanya ledakan bom di Indonesia akan langsung muncul dalam pemberitaan media sebagai aksi terorisme. Media massa seolah tidak memiliki pilihan kata lain kendati dapat menggunakan istilah aksi anarkis, kekerasan, atau perbuatan melawan hukum. Hal inilah yang melahirkan stigmatisasi pemberitaan terorisme.</w:t>
      </w:r>
    </w:p>
    <w:p w14:paraId="53DC2F3B" w14:textId="77777777" w:rsidR="009A69F5" w:rsidRPr="003E74FF" w:rsidRDefault="00844F89" w:rsidP="00F4483C">
      <w:pPr>
        <w:spacing w:after="0"/>
        <w:ind w:left="284" w:firstLine="426"/>
        <w:contextualSpacing/>
        <w:jc w:val="both"/>
        <w:rPr>
          <w:rFonts w:ascii="Garamond" w:hAnsi="Garamond"/>
        </w:rPr>
      </w:pPr>
      <w:r w:rsidRPr="003E74FF">
        <w:rPr>
          <w:rFonts w:ascii="Garamond" w:hAnsi="Garamond"/>
        </w:rPr>
        <w:t xml:space="preserve">Gambaran adanya stigmatisasi pemberitaan terorisme adalah ketika muncul peristiwa peledakan gedung WTC di Manhattan New York pada 11 September 2001. Tentu semua media menempatkan sebagai </w:t>
      </w:r>
      <w:r w:rsidRPr="003E74FF">
        <w:rPr>
          <w:rFonts w:ascii="Garamond" w:hAnsi="Garamond"/>
          <w:i/>
        </w:rPr>
        <w:t>headline</w:t>
      </w:r>
      <w:r w:rsidRPr="003E74FF">
        <w:rPr>
          <w:rFonts w:ascii="Garamond" w:hAnsi="Garamond"/>
        </w:rPr>
        <w:t xml:space="preserve"> berita, namun mengambil judul berita yang berbeda sesuai kepentingan. Kesulitan jurnalis terkait berita terorisme adalah mencari keberimbangan berita antara pelaku teroris, korban, dan pemerintah melalui aparat keamanan (Ross, 2007). Media sering mengambil narasumber aksi terorisme dari kalangan aparat keamanan atau intelijen akibat susahnya mendapatkan akses langsung ke pelaku.</w:t>
      </w:r>
    </w:p>
    <w:p w14:paraId="410CD1D6" w14:textId="77777777" w:rsidR="009A69F5" w:rsidRPr="003E74FF" w:rsidRDefault="00844F89" w:rsidP="00F4483C">
      <w:pPr>
        <w:spacing w:after="0"/>
        <w:ind w:left="284" w:firstLine="426"/>
        <w:contextualSpacing/>
        <w:jc w:val="both"/>
        <w:rPr>
          <w:rFonts w:ascii="Garamond" w:hAnsi="Garamond"/>
        </w:rPr>
      </w:pPr>
      <w:r w:rsidRPr="003E74FF">
        <w:rPr>
          <w:rFonts w:ascii="Garamond" w:hAnsi="Garamond"/>
        </w:rPr>
        <w:t xml:space="preserve">Teks pemberitaan media merupakan teks yang lahir dengan berbagai kepentingan, ideologi, dan fakta yang beragam. Oleh karena itu teks </w:t>
      </w:r>
      <w:r w:rsidRPr="003E74FF">
        <w:rPr>
          <w:rFonts w:ascii="Garamond" w:hAnsi="Garamond"/>
        </w:rPr>
        <w:lastRenderedPageBreak/>
        <w:t>media memiliki nilai keberpihakan dalam pertarungan wacana dan kepentingan tertentu yang dipengaruhi oleh penulis dan ideologi organisasi pers. Pernyataan perang terhadap terorisme yang dikampanyekan oleh Presiden Amerika Serikat, George W. Bush setelah pengeboman gedung WTC menjadikan media menempatkan berita terorisme sebagai komoditas bisnis dan perang ideologi, sesuai frame pemberitaan.</w:t>
      </w:r>
    </w:p>
    <w:p w14:paraId="23DACBB2" w14:textId="77777777" w:rsidR="009A69F5" w:rsidRPr="003E74FF" w:rsidRDefault="00844F89" w:rsidP="00F4483C">
      <w:pPr>
        <w:spacing w:after="0"/>
        <w:ind w:left="284" w:firstLine="426"/>
        <w:contextualSpacing/>
        <w:jc w:val="both"/>
        <w:rPr>
          <w:rFonts w:ascii="Garamond" w:hAnsi="Garamond"/>
          <w:highlight w:val="white"/>
        </w:rPr>
      </w:pPr>
      <w:r w:rsidRPr="003E74FF">
        <w:rPr>
          <w:rFonts w:ascii="Garamond" w:hAnsi="Garamond"/>
        </w:rPr>
        <w:t>Memahami peranan internet dalam perkembangan strategi komunikasi terorisme, maka terlihat adanya hubungan antara teroris dan media sebagai jalinan hubungan simbiosis mutualisme yang saling membutuhkan. Media butuh bahan berita yang menarik, sedangkan teroris membutuhkan publisitas untuk menunjukkan eksistensi kegiatan, menyampaikan pesan (propaganda), legitimasi aksi teror, dan intimidasi psikologi terhadap masyarakat maupun keamanan pemerintah (Chen et al., 2008, hal. 221–234; Weimann, 2004, hal. 6).</w:t>
      </w:r>
    </w:p>
    <w:p w14:paraId="1BC5340C" w14:textId="77777777" w:rsidR="009A69F5" w:rsidRPr="003E74FF" w:rsidRDefault="00844F89" w:rsidP="00F4483C">
      <w:pPr>
        <w:spacing w:after="0"/>
        <w:ind w:left="284" w:firstLine="426"/>
        <w:contextualSpacing/>
        <w:jc w:val="both"/>
        <w:rPr>
          <w:rFonts w:ascii="Garamond" w:hAnsi="Garamond"/>
        </w:rPr>
      </w:pPr>
      <w:r w:rsidRPr="003E74FF">
        <w:rPr>
          <w:rFonts w:ascii="Garamond" w:hAnsi="Garamond"/>
          <w:highlight w:val="white"/>
        </w:rPr>
        <w:t xml:space="preserve">Strategi komunikasi dengan menggunakan media siber telah menjadi pilihan cara untuk </w:t>
      </w:r>
      <w:r w:rsidRPr="00F4483C">
        <w:rPr>
          <w:rFonts w:ascii="Garamond" w:hAnsi="Garamond"/>
        </w:rPr>
        <w:t>mensosialisasikan</w:t>
      </w:r>
      <w:r w:rsidRPr="003E74FF">
        <w:rPr>
          <w:rFonts w:ascii="Garamond" w:hAnsi="Garamond"/>
          <w:highlight w:val="white"/>
        </w:rPr>
        <w:t xml:space="preserve"> doktrin terorisme, ajakan melakukan aksi, sampai pada membagi pengetahuan tentang cara merakit bom. Penggunaan media siber juga telah dilakukan untuk penggalangan dana dengan model </w:t>
      </w:r>
      <w:r w:rsidRPr="003E74FF">
        <w:rPr>
          <w:rFonts w:ascii="Garamond" w:hAnsi="Garamond"/>
          <w:i/>
          <w:highlight w:val="white"/>
        </w:rPr>
        <w:t>Multi Level Marketing</w:t>
      </w:r>
      <w:r w:rsidRPr="003E74FF">
        <w:rPr>
          <w:rFonts w:ascii="Garamond" w:hAnsi="Garamond"/>
          <w:highlight w:val="white"/>
        </w:rPr>
        <w:t xml:space="preserve"> (MLM)</w:t>
      </w:r>
      <w:r w:rsidRPr="003E74FF">
        <w:rPr>
          <w:rFonts w:ascii="Garamond" w:hAnsi="Garamond"/>
        </w:rPr>
        <w:t xml:space="preserve"> sebagaimana MLM di Medan untuk donasi aksi terorisme di Poso, Palembang, dan sebagainya. </w:t>
      </w:r>
      <w:r w:rsidRPr="003E74FF">
        <w:rPr>
          <w:rFonts w:ascii="Garamond" w:hAnsi="Garamond"/>
          <w:i/>
        </w:rPr>
        <w:t>Cyberterrorism</w:t>
      </w:r>
      <w:r w:rsidRPr="003E74FF">
        <w:rPr>
          <w:rFonts w:ascii="Garamond" w:hAnsi="Garamond"/>
        </w:rPr>
        <w:t xml:space="preserve"> telah dilakukan oleh terpidana mati kasus bom Bali 2002, Abdul Aziz alias Imam Samudra di dalam Lapas Kerobokan, Bali, dengan mengelola situs web khusus untuk mengkoordinasi kegiatan teror.</w:t>
      </w:r>
    </w:p>
    <w:p w14:paraId="776A75AA" w14:textId="77777777" w:rsidR="009A69F5" w:rsidRPr="003E74FF" w:rsidRDefault="00844F89" w:rsidP="00F4483C">
      <w:pPr>
        <w:spacing w:after="0"/>
        <w:ind w:left="284" w:firstLine="426"/>
        <w:contextualSpacing/>
        <w:jc w:val="both"/>
        <w:rPr>
          <w:rFonts w:ascii="Garamond" w:hAnsi="Garamond"/>
        </w:rPr>
      </w:pPr>
      <w:r w:rsidRPr="003E74FF">
        <w:rPr>
          <w:rFonts w:ascii="Garamond" w:hAnsi="Garamond"/>
        </w:rPr>
        <w:t>Berbagai aksi radikalisme dalam bentuk pengeboman di berbagai daerah sebagai wujud solidaritas balas dendam dapat dilakukan secara terencana dengan memanfaatkan situs internet. Pepi Fernando belajar merakit bom melalui internet dengan meledakkan bom di Gereja Christ Cathedral, Gading Serpong Tangerang. Kelompok Pepi juga mengirimkan paket bom buku kepada Ahmad Dhani, Ulil Abshar Abdalla, dan Gories Mere pada Maret 2011 (Iin, 2012).</w:t>
      </w:r>
    </w:p>
    <w:p w14:paraId="4A30FBA2" w14:textId="77777777" w:rsidR="009A69F5" w:rsidRPr="003E74FF" w:rsidRDefault="009A69F5" w:rsidP="00FC31F4">
      <w:pPr>
        <w:spacing w:after="0"/>
        <w:ind w:firstLine="426"/>
        <w:contextualSpacing/>
        <w:jc w:val="both"/>
        <w:rPr>
          <w:rFonts w:ascii="Garamond" w:hAnsi="Garamond"/>
        </w:rPr>
      </w:pPr>
    </w:p>
    <w:p w14:paraId="54325FE0" w14:textId="77777777" w:rsidR="009A69F5" w:rsidRPr="003E74FF" w:rsidRDefault="00844F89" w:rsidP="00FC31F4">
      <w:pPr>
        <w:pStyle w:val="Heading1"/>
        <w:keepNext/>
        <w:spacing w:before="240" w:beforeAutospacing="0" w:after="0" w:afterAutospacing="0" w:line="276" w:lineRule="auto"/>
        <w:rPr>
          <w:rFonts w:ascii="Garamond" w:hAnsi="Garamond"/>
          <w:b w:val="0"/>
          <w:sz w:val="22"/>
          <w:szCs w:val="22"/>
        </w:rPr>
      </w:pPr>
      <w:r w:rsidRPr="00FC31F4">
        <w:rPr>
          <w:rFonts w:ascii="Garamond" w:hAnsi="Garamond" w:cs="Arial"/>
          <w:kern w:val="2"/>
          <w:sz w:val="22"/>
          <w:szCs w:val="22"/>
          <w:lang w:eastAsia="en-US"/>
        </w:rPr>
        <w:t>Jaringan</w:t>
      </w:r>
      <w:r w:rsidRPr="003E74FF">
        <w:rPr>
          <w:rFonts w:ascii="Garamond" w:hAnsi="Garamond"/>
          <w:sz w:val="22"/>
          <w:szCs w:val="22"/>
        </w:rPr>
        <w:t xml:space="preserve"> Gerakan Jihad Global </w:t>
      </w:r>
    </w:p>
    <w:p w14:paraId="2B94EF0A" w14:textId="77777777" w:rsidR="009A69F5" w:rsidRPr="003E74FF" w:rsidRDefault="00844F89" w:rsidP="00FC31F4">
      <w:pPr>
        <w:pBdr>
          <w:top w:val="nil"/>
          <w:left w:val="nil"/>
          <w:bottom w:val="nil"/>
          <w:right w:val="nil"/>
          <w:between w:val="nil"/>
        </w:pBdr>
        <w:spacing w:after="0"/>
        <w:ind w:firstLine="426"/>
        <w:contextualSpacing/>
        <w:jc w:val="both"/>
        <w:rPr>
          <w:rFonts w:ascii="Garamond" w:eastAsia="Calibri" w:hAnsi="Garamond" w:cs="Calibri"/>
          <w:color w:val="000000"/>
        </w:rPr>
      </w:pPr>
      <w:r w:rsidRPr="003E74FF">
        <w:rPr>
          <w:rFonts w:ascii="Garamond" w:eastAsia="Calibri" w:hAnsi="Garamond" w:cs="Calibri"/>
          <w:color w:val="000000"/>
        </w:rPr>
        <w:t xml:space="preserve">Gerakan reformasi Islam yang semula menyatakan Islam klasik sebagai penyebab kemunduran Islam, beralih sasaran untuk merekonstruksi ulang ideologi politik modern. Gerakan tersebut berjalan seiring berkembangnya </w:t>
      </w:r>
      <w:r w:rsidRPr="003E74FF">
        <w:rPr>
          <w:rFonts w:ascii="Garamond" w:eastAsia="Calibri" w:hAnsi="Garamond" w:cs="Calibri"/>
          <w:color w:val="000000"/>
        </w:rPr>
        <w:lastRenderedPageBreak/>
        <w:t xml:space="preserve">ideologi jihad kontemporer yang dipengaruhi pemikiran Sayyid Quthb (Ali, 2014, hal. 16–17). Pemikiran Quthb sebagaimana dikutip As’ad, membagi masyarakat atas 2 (dua) kelompok: yaitu masyarakat </w:t>
      </w:r>
      <w:r w:rsidRPr="003E74FF">
        <w:rPr>
          <w:rFonts w:ascii="Garamond" w:hAnsi="Garamond"/>
          <w:i/>
        </w:rPr>
        <w:t>jahiliyah</w:t>
      </w:r>
      <w:r w:rsidRPr="003E74FF">
        <w:rPr>
          <w:rFonts w:ascii="Garamond" w:eastAsia="Calibri" w:hAnsi="Garamond" w:cs="Calibri"/>
          <w:color w:val="000000"/>
        </w:rPr>
        <w:t xml:space="preserve"> yang melakukan pengingkaran hukum-hukum Allah dan masyarakat Islam yang menerapkan hukum Allah (</w:t>
      </w:r>
      <w:r w:rsidRPr="003E74FF">
        <w:rPr>
          <w:rFonts w:ascii="Garamond" w:eastAsia="Calibri" w:hAnsi="Garamond" w:cs="Calibri"/>
          <w:i/>
          <w:color w:val="000000"/>
        </w:rPr>
        <w:t>al-</w:t>
      </w:r>
      <w:r w:rsidRPr="003E74FF">
        <w:rPr>
          <w:rFonts w:ascii="Garamond" w:hAnsi="Garamond"/>
          <w:i/>
        </w:rPr>
        <w:t>hakimiyyah</w:t>
      </w:r>
      <w:r w:rsidRPr="003E74FF">
        <w:rPr>
          <w:rFonts w:ascii="Garamond" w:eastAsia="Calibri" w:hAnsi="Garamond" w:cs="Calibri"/>
          <w:i/>
          <w:color w:val="000000"/>
        </w:rPr>
        <w:t xml:space="preserve"> lillāh</w:t>
      </w:r>
      <w:r w:rsidRPr="003E74FF">
        <w:rPr>
          <w:rFonts w:ascii="Garamond" w:eastAsia="Calibri" w:hAnsi="Garamond" w:cs="Calibri"/>
          <w:color w:val="000000"/>
        </w:rPr>
        <w:t>) (Ali, 2014, hal. 27). Kemunduran yang dihadapi umat Islam di berbagai negara, mulai dari kemunduran ekonomi, pemerintahan, dan moralitas masyarakat seakan mendapatkan jawaban karena budaya jahiliyah sebagai akibat dari tidak diterapkannya hukum Allah secara utuh.</w:t>
      </w:r>
    </w:p>
    <w:p w14:paraId="0BA3243C" w14:textId="77777777" w:rsidR="009A69F5" w:rsidRPr="003E74FF" w:rsidRDefault="00844F89" w:rsidP="00FC31F4">
      <w:pPr>
        <w:pBdr>
          <w:top w:val="nil"/>
          <w:left w:val="nil"/>
          <w:bottom w:val="nil"/>
          <w:right w:val="nil"/>
          <w:between w:val="nil"/>
        </w:pBdr>
        <w:spacing w:after="0"/>
        <w:ind w:firstLine="426"/>
        <w:contextualSpacing/>
        <w:jc w:val="both"/>
        <w:rPr>
          <w:rFonts w:ascii="Garamond" w:eastAsia="Calibri" w:hAnsi="Garamond" w:cs="Calibri"/>
          <w:color w:val="000000"/>
        </w:rPr>
      </w:pPr>
      <w:r w:rsidRPr="003E74FF">
        <w:rPr>
          <w:rFonts w:ascii="Garamond" w:eastAsia="Calibri" w:hAnsi="Garamond" w:cs="Calibri"/>
          <w:color w:val="000000"/>
        </w:rPr>
        <w:t xml:space="preserve">Transformasi pemikiran Quthb menginspirasi </w:t>
      </w:r>
      <w:r w:rsidRPr="003E74FF">
        <w:rPr>
          <w:rFonts w:ascii="Garamond" w:hAnsi="Garamond"/>
        </w:rPr>
        <w:t>Jama'ah</w:t>
      </w:r>
      <w:r w:rsidRPr="003E74FF">
        <w:rPr>
          <w:rFonts w:ascii="Garamond" w:eastAsia="Calibri" w:hAnsi="Garamond" w:cs="Calibri"/>
          <w:color w:val="000000"/>
        </w:rPr>
        <w:t xml:space="preserve"> al-Muslimin yang dipimpin Syukri Musthofa, Jamaah Jihad atau Tanzimul Jihad pimpinan Muhammad Abdul Aziz al-</w:t>
      </w:r>
      <w:r w:rsidRPr="003E74FF">
        <w:rPr>
          <w:rFonts w:ascii="Garamond" w:hAnsi="Garamond"/>
        </w:rPr>
        <w:t>Syarqawi</w:t>
      </w:r>
      <w:r w:rsidRPr="003E74FF">
        <w:rPr>
          <w:rFonts w:ascii="Garamond" w:eastAsia="Calibri" w:hAnsi="Garamond" w:cs="Calibri"/>
          <w:color w:val="000000"/>
        </w:rPr>
        <w:t xml:space="preserve"> bersama Ismail Thanthawi, dan Jamaah Islamiyah yang diprakarsai Umar Abdurrahman, untuk melakukan aksi konkret menerapkan </w:t>
      </w:r>
      <w:r w:rsidRPr="003E74FF">
        <w:rPr>
          <w:rFonts w:ascii="Garamond" w:eastAsia="Calibri" w:hAnsi="Garamond" w:cs="Calibri"/>
          <w:i/>
          <w:color w:val="000000"/>
        </w:rPr>
        <w:t>al-</w:t>
      </w:r>
      <w:r w:rsidRPr="003E74FF">
        <w:rPr>
          <w:rFonts w:ascii="Garamond" w:hAnsi="Garamond"/>
          <w:i/>
        </w:rPr>
        <w:t>hakimiyyah</w:t>
      </w:r>
      <w:r w:rsidRPr="003E74FF">
        <w:rPr>
          <w:rFonts w:ascii="Garamond" w:eastAsia="Calibri" w:hAnsi="Garamond" w:cs="Calibri"/>
          <w:i/>
          <w:color w:val="000000"/>
        </w:rPr>
        <w:t xml:space="preserve"> lillāh</w:t>
      </w:r>
      <w:r w:rsidRPr="003E74FF">
        <w:rPr>
          <w:rFonts w:ascii="Garamond" w:eastAsia="Calibri" w:hAnsi="Garamond" w:cs="Calibri"/>
          <w:color w:val="000000"/>
        </w:rPr>
        <w:t xml:space="preserve"> untuk mengganti hukum kafir jahiliyah (Hafni, 1999, hal. 318). Hal itu dianggap sebagai suatu keharusan dan memeranginya menjadi suatu kewajiban sebagaimana pemahaman atas Surat Al-Anfal Ayat 44.</w:t>
      </w:r>
      <w:r w:rsidRPr="003E74FF">
        <w:rPr>
          <w:rFonts w:ascii="Garamond" w:eastAsia="Calibri" w:hAnsi="Garamond" w:cs="Calibri"/>
          <w:color w:val="000000"/>
          <w:vertAlign w:val="superscript"/>
        </w:rPr>
        <w:footnoteReference w:id="1"/>
      </w:r>
    </w:p>
    <w:p w14:paraId="0CB1BDDC" w14:textId="77777777" w:rsidR="009A69F5" w:rsidRPr="003E74FF" w:rsidRDefault="00844F89" w:rsidP="00FC31F4">
      <w:pPr>
        <w:pBdr>
          <w:top w:val="nil"/>
          <w:left w:val="nil"/>
          <w:bottom w:val="nil"/>
          <w:right w:val="nil"/>
          <w:between w:val="nil"/>
        </w:pBdr>
        <w:spacing w:after="0"/>
        <w:ind w:firstLine="426"/>
        <w:contextualSpacing/>
        <w:jc w:val="both"/>
        <w:rPr>
          <w:rFonts w:ascii="Garamond" w:eastAsia="Calibri" w:hAnsi="Garamond" w:cs="Calibri"/>
          <w:color w:val="000000"/>
        </w:rPr>
      </w:pPr>
      <w:r w:rsidRPr="003E74FF">
        <w:rPr>
          <w:rFonts w:ascii="Garamond" w:eastAsia="Calibri" w:hAnsi="Garamond" w:cs="Calibri"/>
          <w:color w:val="000000"/>
        </w:rPr>
        <w:t xml:space="preserve">Menurut mereka, perang terhadap pemerintahan kafir mencakup juga mengusir orang-orang kafir dari negeri Islam karena menjadi penyebab penghancuran agama Islam (Azzam, 2002, hal. 158). Pendapat yang dikembangkan oleh Azzam, ulama Yordania  keturunan Palestina, ini dipengaruhi pengalaman jihadnya di Afghanistan melawan Uni Soviet dan traumanya atas perang Palestina dengan Israel. Pengalaman perang melandasi pandangan Azzam bahwa Daulah Islamiyah atau Khilafah Islamiyah harus dikembalikan setelah kehancurannya pada 1924. Jihad menurut Azzam adalah satu-satunya cara untuk memperjuangkan dan menjadi kewajiban permanen yang bersifat </w:t>
      </w:r>
      <w:r w:rsidRPr="003E74FF">
        <w:rPr>
          <w:rFonts w:ascii="Garamond" w:eastAsia="Calibri" w:hAnsi="Garamond" w:cs="Calibri"/>
          <w:i/>
          <w:color w:val="000000"/>
        </w:rPr>
        <w:t>fardhu ‘ain</w:t>
      </w:r>
      <w:r w:rsidRPr="003E74FF">
        <w:rPr>
          <w:rFonts w:ascii="Garamond" w:eastAsia="Calibri" w:hAnsi="Garamond" w:cs="Calibri"/>
          <w:color w:val="000000"/>
        </w:rPr>
        <w:t xml:space="preserve"> karena Islam tegak dengan pedang. Azzam menekankan bahwa kewajiban jihad lebih utama daripada kewajiban </w:t>
      </w:r>
      <w:r w:rsidRPr="003E74FF">
        <w:rPr>
          <w:rFonts w:ascii="Garamond" w:hAnsi="Garamond"/>
        </w:rPr>
        <w:t>shalat</w:t>
      </w:r>
      <w:r w:rsidRPr="003E74FF">
        <w:rPr>
          <w:rFonts w:ascii="Garamond" w:eastAsia="Calibri" w:hAnsi="Garamond" w:cs="Calibri"/>
          <w:color w:val="000000"/>
        </w:rPr>
        <w:t xml:space="preserve">, puasa, atau haji (Ali, 2014, hal. 44–46). </w:t>
      </w:r>
    </w:p>
    <w:p w14:paraId="19CD4CE8" w14:textId="77777777" w:rsidR="009A69F5" w:rsidRPr="003E74FF" w:rsidRDefault="00844F89" w:rsidP="00FC31F4">
      <w:pPr>
        <w:pBdr>
          <w:top w:val="nil"/>
          <w:left w:val="nil"/>
          <w:bottom w:val="nil"/>
          <w:right w:val="nil"/>
          <w:between w:val="nil"/>
        </w:pBdr>
        <w:spacing w:after="0"/>
        <w:ind w:firstLine="426"/>
        <w:contextualSpacing/>
        <w:jc w:val="both"/>
        <w:rPr>
          <w:rFonts w:ascii="Garamond" w:eastAsia="Calibri" w:hAnsi="Garamond" w:cs="Calibri"/>
          <w:color w:val="000000"/>
        </w:rPr>
      </w:pPr>
      <w:r w:rsidRPr="003E74FF">
        <w:rPr>
          <w:rFonts w:ascii="Garamond" w:eastAsia="Calibri" w:hAnsi="Garamond" w:cs="Calibri"/>
          <w:color w:val="000000"/>
        </w:rPr>
        <w:t xml:space="preserve">Jihad dalam kajian Islam mempunyai keragaman makna: dari segi kerohanian dikenal dengan </w:t>
      </w:r>
      <w:r w:rsidRPr="003E74FF">
        <w:rPr>
          <w:rFonts w:ascii="Garamond" w:eastAsia="Calibri" w:hAnsi="Garamond" w:cs="Calibri"/>
          <w:i/>
          <w:color w:val="000000"/>
        </w:rPr>
        <w:t>mujāhadah</w:t>
      </w:r>
      <w:r w:rsidRPr="003E74FF">
        <w:rPr>
          <w:rFonts w:ascii="Garamond" w:eastAsia="Calibri" w:hAnsi="Garamond" w:cs="Calibri"/>
          <w:color w:val="000000"/>
        </w:rPr>
        <w:t xml:space="preserve">, dalam bentuk intelektual dikenal dengan </w:t>
      </w:r>
      <w:r w:rsidRPr="003E74FF">
        <w:rPr>
          <w:rFonts w:ascii="Garamond" w:eastAsia="Calibri" w:hAnsi="Garamond" w:cs="Calibri"/>
          <w:i/>
          <w:color w:val="000000"/>
        </w:rPr>
        <w:t>ijtihād</w:t>
      </w:r>
      <w:r w:rsidRPr="003E74FF">
        <w:rPr>
          <w:rFonts w:ascii="Garamond" w:eastAsia="Calibri" w:hAnsi="Garamond" w:cs="Calibri"/>
          <w:color w:val="000000"/>
        </w:rPr>
        <w:t xml:space="preserve">, sedangkan jihad dalam bentuk fisik dikenal dengan </w:t>
      </w:r>
      <w:r w:rsidRPr="003E74FF">
        <w:rPr>
          <w:rFonts w:ascii="Garamond" w:eastAsia="Calibri" w:hAnsi="Garamond" w:cs="Calibri"/>
          <w:i/>
          <w:color w:val="000000"/>
        </w:rPr>
        <w:t>jihād</w:t>
      </w:r>
      <w:r w:rsidRPr="003E74FF">
        <w:rPr>
          <w:rFonts w:ascii="Garamond" w:eastAsia="Calibri" w:hAnsi="Garamond" w:cs="Calibri"/>
          <w:color w:val="000000"/>
        </w:rPr>
        <w:t xml:space="preserve"> itu sendiri (Romli &amp; Sjadzili, 2004, hal. 3). Dari ketiganya, jihad dalam maknanya </w:t>
      </w:r>
      <w:r w:rsidRPr="003E74FF">
        <w:rPr>
          <w:rFonts w:ascii="Garamond" w:eastAsia="Calibri" w:hAnsi="Garamond" w:cs="Calibri"/>
          <w:color w:val="000000"/>
        </w:rPr>
        <w:lastRenderedPageBreak/>
        <w:t>sebagai “jihad”</w:t>
      </w:r>
      <w:r w:rsidRPr="003E74FF">
        <w:rPr>
          <w:rFonts w:ascii="Garamond" w:eastAsia="Calibri" w:hAnsi="Garamond" w:cs="Calibri"/>
          <w:i/>
          <w:color w:val="000000"/>
        </w:rPr>
        <w:t xml:space="preserve"> </w:t>
      </w:r>
      <w:r w:rsidRPr="003E74FF">
        <w:rPr>
          <w:rFonts w:ascii="Garamond" w:eastAsia="Calibri" w:hAnsi="Garamond" w:cs="Calibri"/>
          <w:color w:val="000000"/>
        </w:rPr>
        <w:t>lebih mendapatkan perhatian daripada kata lainnya. Hal demikian menyebabkan pemahaman bahwa jihad selalu diartikan dengan gerakan fisik yang diwarnai kekerasan dan pertumpahan darah dalam wujud perang atau memerangi orang kafir (Sābiq, 1418, hal. 400). Akibatnya, fiqih jihad berubah menjadi fiqih perang tanpa membedakan antara jihad dalam kondisi damai dan jihad dalam kondisi perang.</w:t>
      </w:r>
      <w:r w:rsidRPr="003E74FF">
        <w:rPr>
          <w:rFonts w:ascii="Garamond" w:eastAsia="Calibri" w:hAnsi="Garamond" w:cs="Calibri"/>
          <w:color w:val="000000"/>
          <w:vertAlign w:val="superscript"/>
        </w:rPr>
        <w:t xml:space="preserve"> </w:t>
      </w:r>
    </w:p>
    <w:p w14:paraId="740C2BA8" w14:textId="77777777" w:rsidR="009A69F5" w:rsidRPr="003E74FF" w:rsidRDefault="00844F89" w:rsidP="00FC31F4">
      <w:pPr>
        <w:pBdr>
          <w:top w:val="nil"/>
          <w:left w:val="nil"/>
          <w:bottom w:val="nil"/>
          <w:right w:val="nil"/>
          <w:between w:val="nil"/>
        </w:pBdr>
        <w:spacing w:after="0"/>
        <w:ind w:firstLine="426"/>
        <w:contextualSpacing/>
        <w:jc w:val="both"/>
        <w:rPr>
          <w:rFonts w:ascii="Garamond" w:eastAsia="Calibri" w:hAnsi="Garamond" w:cs="Calibri"/>
          <w:color w:val="000000"/>
        </w:rPr>
      </w:pPr>
      <w:r w:rsidRPr="003E74FF">
        <w:rPr>
          <w:rFonts w:ascii="Garamond" w:eastAsia="Calibri" w:hAnsi="Garamond" w:cs="Calibri"/>
          <w:color w:val="000000"/>
        </w:rPr>
        <w:t xml:space="preserve">Muhammad Sa’id </w:t>
      </w:r>
      <w:r w:rsidRPr="003E74FF">
        <w:rPr>
          <w:rFonts w:ascii="Garamond" w:hAnsi="Garamond"/>
        </w:rPr>
        <w:t>Ramadan</w:t>
      </w:r>
      <w:r w:rsidRPr="003E74FF">
        <w:rPr>
          <w:rFonts w:ascii="Garamond" w:eastAsia="Times" w:hAnsi="Garamond" w:cs="Times"/>
          <w:color w:val="000000"/>
        </w:rPr>
        <w:t>{</w:t>
      </w:r>
      <w:r w:rsidRPr="003E74FF">
        <w:rPr>
          <w:rFonts w:ascii="Garamond" w:eastAsia="Calibri" w:hAnsi="Garamond" w:cs="Calibri"/>
          <w:color w:val="000000"/>
        </w:rPr>
        <w:t>ān al-Būtī menjelaskan makna jihad dengan melihat dari kisah perjuangan dan upaya yang dilakukan masa Nabi Muhammad. Menurutnya, jihad merupakan berdakwah kepada jalan Allah dengan mempertahankan kebenaran kendati dengan berbagai macam tantangan, serta adanya kesabaran memahami al-Qur’an dan penerapan hukum-hukum Islam (Būtī, 1993, hal. 3–4). Pengertian jihad menurut al-Būti</w:t>
      </w:r>
      <w:r w:rsidRPr="003E74FF">
        <w:rPr>
          <w:rFonts w:ascii="Garamond" w:eastAsia="Times" w:hAnsi="Garamond" w:cs="Times"/>
          <w:color w:val="000000"/>
        </w:rPr>
        <w:t>&gt;</w:t>
      </w:r>
      <w:r w:rsidRPr="003E74FF">
        <w:rPr>
          <w:rFonts w:ascii="Garamond" w:eastAsia="Calibri" w:hAnsi="Garamond" w:cs="Calibri"/>
          <w:color w:val="000000"/>
        </w:rPr>
        <w:t xml:space="preserve"> pada akhirnya dapat digunakan untuk membaca evolusi makna jihad berdasarkan </w:t>
      </w:r>
      <w:r w:rsidRPr="003E74FF">
        <w:rPr>
          <w:rFonts w:ascii="Garamond" w:hAnsi="Garamond"/>
        </w:rPr>
        <w:t>periodisasi</w:t>
      </w:r>
      <w:r w:rsidRPr="003E74FF">
        <w:rPr>
          <w:rFonts w:ascii="Garamond" w:eastAsia="Calibri" w:hAnsi="Garamond" w:cs="Calibri"/>
          <w:color w:val="000000"/>
        </w:rPr>
        <w:t xml:space="preserve"> Nabi di Makkah dan Madinah.</w:t>
      </w:r>
    </w:p>
    <w:p w14:paraId="11F3C1E6" w14:textId="77777777" w:rsidR="009A69F5" w:rsidRPr="003E74FF" w:rsidRDefault="00844F89" w:rsidP="00FC31F4">
      <w:pPr>
        <w:spacing w:after="0"/>
        <w:ind w:hanging="720"/>
        <w:contextualSpacing/>
        <w:jc w:val="both"/>
        <w:rPr>
          <w:rFonts w:ascii="Garamond" w:hAnsi="Garamond"/>
        </w:rPr>
      </w:pPr>
      <w:r w:rsidRPr="003E74FF">
        <w:rPr>
          <w:rFonts w:ascii="Garamond" w:hAnsi="Garamond"/>
        </w:rPr>
        <w:br w:type="page"/>
      </w:r>
    </w:p>
    <w:p w14:paraId="7D8D16DE" w14:textId="714C6D7C" w:rsidR="006A33B8" w:rsidRDefault="006A33B8" w:rsidP="006A33B8">
      <w:pPr>
        <w:spacing w:after="0"/>
        <w:contextualSpacing/>
        <w:rPr>
          <w:rFonts w:ascii="Garamond" w:hAnsi="Garamond"/>
        </w:rPr>
      </w:pPr>
      <w:r>
        <w:rPr>
          <w:noProof/>
        </w:rPr>
        <w:lastRenderedPageBreak/>
        <w:drawing>
          <wp:inline distT="0" distB="0" distL="0" distR="0" wp14:anchorId="1C11293B" wp14:editId="1E2CAC0A">
            <wp:extent cx="4068445" cy="4625975"/>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8445" cy="4625975"/>
                    </a:xfrm>
                    <a:prstGeom prst="rect">
                      <a:avLst/>
                    </a:prstGeom>
                  </pic:spPr>
                </pic:pic>
              </a:graphicData>
            </a:graphic>
          </wp:inline>
        </w:drawing>
      </w:r>
    </w:p>
    <w:p w14:paraId="7EA8877E" w14:textId="2262E9E8" w:rsidR="006A33B8" w:rsidRDefault="006A33B8" w:rsidP="006A33B8">
      <w:pPr>
        <w:spacing w:after="0"/>
        <w:contextualSpacing/>
        <w:rPr>
          <w:rFonts w:ascii="Garamond" w:hAnsi="Garamond"/>
        </w:rPr>
      </w:pPr>
    </w:p>
    <w:p w14:paraId="7810D458" w14:textId="1049B53E" w:rsidR="006A33B8" w:rsidRDefault="006A33B8" w:rsidP="006A33B8">
      <w:pPr>
        <w:tabs>
          <w:tab w:val="left" w:pos="851"/>
        </w:tabs>
        <w:spacing w:after="0"/>
        <w:ind w:left="851" w:hanging="851"/>
        <w:contextualSpacing/>
        <w:jc w:val="both"/>
        <w:rPr>
          <w:rFonts w:ascii="Garamond" w:hAnsi="Garamond"/>
        </w:rPr>
      </w:pPr>
      <w:r w:rsidRPr="003E74FF">
        <w:rPr>
          <w:rFonts w:ascii="Garamond" w:hAnsi="Garamond"/>
        </w:rPr>
        <w:t xml:space="preserve">Bagan 1. </w:t>
      </w:r>
      <w:r>
        <w:rPr>
          <w:rFonts w:ascii="Garamond" w:hAnsi="Garamond"/>
        </w:rPr>
        <w:tab/>
      </w:r>
      <w:r w:rsidRPr="003E74FF">
        <w:rPr>
          <w:rFonts w:ascii="Garamond" w:hAnsi="Garamond"/>
        </w:rPr>
        <w:t>Skema Jaringan Jihad Global (Diolah dari buku Ali, 2014, hal. 18–81)</w:t>
      </w:r>
    </w:p>
    <w:p w14:paraId="38AF384B" w14:textId="77777777" w:rsidR="006A33B8" w:rsidRDefault="006A33B8" w:rsidP="006A33B8">
      <w:pPr>
        <w:spacing w:after="0"/>
        <w:contextualSpacing/>
        <w:rPr>
          <w:rFonts w:ascii="Garamond" w:hAnsi="Garamond"/>
        </w:rPr>
      </w:pPr>
    </w:p>
    <w:p w14:paraId="40087476" w14:textId="6713E744" w:rsidR="009A69F5" w:rsidRPr="003E74FF" w:rsidRDefault="00844F89" w:rsidP="00FC31F4">
      <w:pPr>
        <w:pBdr>
          <w:top w:val="nil"/>
          <w:left w:val="nil"/>
          <w:bottom w:val="nil"/>
          <w:right w:val="nil"/>
          <w:between w:val="nil"/>
        </w:pBdr>
        <w:spacing w:after="0"/>
        <w:ind w:firstLine="426"/>
        <w:contextualSpacing/>
        <w:jc w:val="both"/>
        <w:rPr>
          <w:rFonts w:ascii="Garamond" w:eastAsia="Calibri" w:hAnsi="Garamond" w:cs="Calibri"/>
          <w:color w:val="000000"/>
        </w:rPr>
      </w:pPr>
      <w:r w:rsidRPr="003E74FF">
        <w:rPr>
          <w:rFonts w:ascii="Garamond" w:eastAsia="Calibri" w:hAnsi="Garamond" w:cs="Calibri"/>
          <w:color w:val="000000"/>
        </w:rPr>
        <w:t>Dalam konteks Indonesia, International Crisis Group (ICG) menjelaskan bahwa akar terorisme di Indonesia berawal dari spirit militer DI/TII yang dilanjutkan NII KW 9, serta menjadi jaringan al-jamaah al-Islamiyah pimpinan Abdullah Sungkar dan Abu Bakar Ba’asyir pada 1993. Penamaan al-jamaah al-Islamiyah</w:t>
      </w:r>
      <w:r w:rsidRPr="003E74FF">
        <w:rPr>
          <w:rFonts w:ascii="Garamond" w:eastAsia="Calibri" w:hAnsi="Garamond" w:cs="Calibri"/>
          <w:i/>
          <w:color w:val="000000"/>
        </w:rPr>
        <w:t xml:space="preserve"> </w:t>
      </w:r>
      <w:r w:rsidRPr="003E74FF">
        <w:rPr>
          <w:rFonts w:ascii="Garamond" w:eastAsia="Calibri" w:hAnsi="Garamond" w:cs="Calibri"/>
          <w:color w:val="000000"/>
        </w:rPr>
        <w:t xml:space="preserve">setidaknya untuk membedakan dengan kelompok Jamaah Islamiyah di Mesir pimpinan Umar Abdurrahman. Perkembangan demokratisasi di Indonesia semakin memudahkan para </w:t>
      </w:r>
      <w:r w:rsidRPr="003E74FF">
        <w:rPr>
          <w:rFonts w:ascii="Garamond" w:eastAsia="Calibri" w:hAnsi="Garamond" w:cs="Calibri"/>
          <w:color w:val="000000"/>
        </w:rPr>
        <w:lastRenderedPageBreak/>
        <w:t xml:space="preserve">aktivis Jamaah Islamiyah untuk melakukan aksi terornya, terlebih muncul fatwa dari Usamah bin Laden yang memperbolehkan atau melegalkan serangan kepada warga sipil, terutama warga Amerika Serikat di daerah pendudukan akibat </w:t>
      </w:r>
      <w:r w:rsidRPr="003E74FF">
        <w:rPr>
          <w:rFonts w:ascii="Garamond" w:hAnsi="Garamond"/>
        </w:rPr>
        <w:t>invasi</w:t>
      </w:r>
      <w:r w:rsidRPr="003E74FF">
        <w:rPr>
          <w:rFonts w:ascii="Garamond" w:eastAsia="Calibri" w:hAnsi="Garamond" w:cs="Calibri"/>
          <w:color w:val="000000"/>
        </w:rPr>
        <w:t xml:space="preserve"> sebagai aksi balasan (</w:t>
      </w:r>
      <w:r w:rsidRPr="003E74FF">
        <w:rPr>
          <w:rFonts w:ascii="Garamond" w:eastAsia="Calibri" w:hAnsi="Garamond" w:cs="Calibri"/>
          <w:i/>
          <w:color w:val="000000"/>
        </w:rPr>
        <w:t>retaliation</w:t>
      </w:r>
      <w:r w:rsidRPr="003E74FF">
        <w:rPr>
          <w:rFonts w:ascii="Garamond" w:eastAsia="Calibri" w:hAnsi="Garamond" w:cs="Calibri"/>
          <w:color w:val="000000"/>
        </w:rPr>
        <w:t>) (Blanchard, 2007, hal. 3).</w:t>
      </w:r>
    </w:p>
    <w:p w14:paraId="1F689E8C" w14:textId="77777777" w:rsidR="009A69F5" w:rsidRPr="003E74FF" w:rsidRDefault="009A69F5" w:rsidP="00FC31F4">
      <w:pPr>
        <w:pBdr>
          <w:top w:val="nil"/>
          <w:left w:val="nil"/>
          <w:bottom w:val="nil"/>
          <w:right w:val="nil"/>
          <w:between w:val="nil"/>
        </w:pBdr>
        <w:spacing w:after="0"/>
        <w:ind w:firstLine="426"/>
        <w:contextualSpacing/>
        <w:jc w:val="center"/>
        <w:rPr>
          <w:rFonts w:ascii="Garamond" w:eastAsia="Calibri" w:hAnsi="Garamond" w:cs="Calibri"/>
          <w:color w:val="000000"/>
        </w:rPr>
      </w:pPr>
    </w:p>
    <w:p w14:paraId="723DDAD3" w14:textId="1FAD3040" w:rsidR="006A33B8" w:rsidRPr="006A33B8" w:rsidRDefault="006A33B8" w:rsidP="006A33B8">
      <w:pPr>
        <w:pBdr>
          <w:top w:val="nil"/>
          <w:left w:val="nil"/>
          <w:bottom w:val="nil"/>
          <w:right w:val="nil"/>
          <w:between w:val="nil"/>
        </w:pBdr>
        <w:spacing w:after="0"/>
        <w:contextualSpacing/>
        <w:rPr>
          <w:rFonts w:ascii="Garamond" w:eastAsia="Calibri" w:hAnsi="Garamond" w:cs="Calibri"/>
          <w:color w:val="000000"/>
          <w:lang w:val="en-US"/>
        </w:rPr>
      </w:pPr>
      <w:r>
        <w:rPr>
          <w:noProof/>
        </w:rPr>
        <w:drawing>
          <wp:inline distT="0" distB="0" distL="0" distR="0" wp14:anchorId="5220D6AC" wp14:editId="589A5E05">
            <wp:extent cx="4068445" cy="383730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8445" cy="3837305"/>
                    </a:xfrm>
                    <a:prstGeom prst="rect">
                      <a:avLst/>
                    </a:prstGeom>
                  </pic:spPr>
                </pic:pic>
              </a:graphicData>
            </a:graphic>
          </wp:inline>
        </w:drawing>
      </w:r>
    </w:p>
    <w:p w14:paraId="17C46813" w14:textId="64D9544D" w:rsidR="006A33B8" w:rsidRDefault="006A33B8" w:rsidP="006A33B8">
      <w:pPr>
        <w:pBdr>
          <w:top w:val="nil"/>
          <w:left w:val="nil"/>
          <w:bottom w:val="nil"/>
          <w:right w:val="nil"/>
          <w:between w:val="nil"/>
        </w:pBdr>
        <w:spacing w:after="0"/>
        <w:contextualSpacing/>
        <w:rPr>
          <w:rFonts w:ascii="Garamond" w:eastAsia="Calibri" w:hAnsi="Garamond" w:cs="Calibri"/>
          <w:color w:val="000000"/>
        </w:rPr>
      </w:pPr>
    </w:p>
    <w:p w14:paraId="2AE37F26" w14:textId="7BC7C078" w:rsidR="006A33B8" w:rsidRDefault="006A33B8" w:rsidP="006A33B8">
      <w:pPr>
        <w:tabs>
          <w:tab w:val="left" w:pos="851"/>
        </w:tabs>
        <w:spacing w:after="0"/>
        <w:ind w:left="851" w:hanging="851"/>
        <w:contextualSpacing/>
        <w:jc w:val="both"/>
        <w:rPr>
          <w:rFonts w:ascii="Garamond" w:eastAsia="Calibri" w:hAnsi="Garamond" w:cs="Calibri"/>
          <w:color w:val="000000"/>
        </w:rPr>
      </w:pPr>
      <w:r w:rsidRPr="003E74FF">
        <w:rPr>
          <w:rFonts w:ascii="Garamond" w:eastAsia="Calibri" w:hAnsi="Garamond" w:cs="Calibri"/>
          <w:color w:val="000000"/>
        </w:rPr>
        <w:t xml:space="preserve">Bagan 2. </w:t>
      </w:r>
      <w:r>
        <w:rPr>
          <w:rFonts w:ascii="Garamond" w:eastAsia="Calibri" w:hAnsi="Garamond" w:cs="Calibri"/>
          <w:color w:val="000000"/>
        </w:rPr>
        <w:tab/>
      </w:r>
      <w:r w:rsidRPr="006A33B8">
        <w:rPr>
          <w:rFonts w:ascii="Garamond" w:hAnsi="Garamond"/>
        </w:rPr>
        <w:t>Struktur</w:t>
      </w:r>
      <w:r w:rsidRPr="003E74FF">
        <w:rPr>
          <w:rFonts w:ascii="Garamond" w:eastAsia="Calibri" w:hAnsi="Garamond" w:cs="Calibri"/>
          <w:color w:val="000000"/>
        </w:rPr>
        <w:t xml:space="preserve"> Jaringan Jamaah Islamiyah (Diolah dari Prawira, 2010)</w:t>
      </w:r>
    </w:p>
    <w:p w14:paraId="65D4F037" w14:textId="77777777" w:rsidR="009A69F5" w:rsidRPr="003E74FF" w:rsidRDefault="009A69F5" w:rsidP="00FC31F4">
      <w:pPr>
        <w:pBdr>
          <w:top w:val="nil"/>
          <w:left w:val="nil"/>
          <w:bottom w:val="nil"/>
          <w:right w:val="nil"/>
          <w:between w:val="nil"/>
        </w:pBdr>
        <w:spacing w:after="0"/>
        <w:ind w:firstLine="567"/>
        <w:contextualSpacing/>
        <w:jc w:val="both"/>
        <w:rPr>
          <w:rFonts w:ascii="Garamond" w:eastAsia="Calibri" w:hAnsi="Garamond" w:cs="Calibri"/>
          <w:color w:val="000000"/>
        </w:rPr>
      </w:pPr>
    </w:p>
    <w:p w14:paraId="4CD99260" w14:textId="3AD0B242" w:rsidR="009A69F5" w:rsidRPr="003E74FF" w:rsidRDefault="00844F89" w:rsidP="00332417">
      <w:pPr>
        <w:pBdr>
          <w:top w:val="nil"/>
          <w:left w:val="nil"/>
          <w:bottom w:val="nil"/>
          <w:right w:val="nil"/>
          <w:between w:val="nil"/>
        </w:pBdr>
        <w:spacing w:after="0"/>
        <w:ind w:firstLine="426"/>
        <w:contextualSpacing/>
        <w:jc w:val="both"/>
        <w:rPr>
          <w:rFonts w:ascii="Garamond" w:eastAsia="Calibri" w:hAnsi="Garamond" w:cs="Calibri"/>
          <w:color w:val="000000"/>
        </w:rPr>
      </w:pPr>
      <w:r w:rsidRPr="003E74FF">
        <w:rPr>
          <w:rFonts w:ascii="Garamond" w:eastAsia="Calibri" w:hAnsi="Garamond" w:cs="Calibri"/>
          <w:color w:val="000000"/>
        </w:rPr>
        <w:t xml:space="preserve">Al-Qaeda dan Jamaah Islamiyah menjadi sumber </w:t>
      </w:r>
      <w:r w:rsidRPr="003E74FF">
        <w:rPr>
          <w:rFonts w:ascii="Garamond" w:hAnsi="Garamond"/>
        </w:rPr>
        <w:t>timbulnya</w:t>
      </w:r>
      <w:r w:rsidRPr="003E74FF">
        <w:rPr>
          <w:rFonts w:ascii="Garamond" w:eastAsia="Calibri" w:hAnsi="Garamond" w:cs="Calibri"/>
          <w:color w:val="000000"/>
        </w:rPr>
        <w:t xml:space="preserve"> terorisme yang memetakan wilayah Asia Tenggara sesuai dengan garapannya masing-masing. Pemetaan wilayah gerakan menjadikan Indonesia sebagai medan jihad, Filipina sebagai pusat pelatihan, sedangkan Malaysia dan Singapura sebagai pusat donasi sekaligus sumber transaksi keuangan (</w:t>
      </w:r>
      <w:r w:rsidRPr="003E74FF">
        <w:rPr>
          <w:rFonts w:ascii="Garamond" w:hAnsi="Garamond"/>
        </w:rPr>
        <w:t>Ali</w:t>
      </w:r>
      <w:r w:rsidRPr="003E74FF">
        <w:rPr>
          <w:rFonts w:ascii="Garamond" w:eastAsia="Calibri" w:hAnsi="Garamond" w:cs="Calibri"/>
          <w:color w:val="000000"/>
        </w:rPr>
        <w:t xml:space="preserve">, 2014, hal. 195–240). Antisipasi terhadap peta gerakan Jamaah Islamiyah di Asia </w:t>
      </w:r>
      <w:r w:rsidRPr="003E74FF">
        <w:rPr>
          <w:rFonts w:ascii="Garamond" w:eastAsia="Calibri" w:hAnsi="Garamond" w:cs="Calibri"/>
          <w:color w:val="000000"/>
        </w:rPr>
        <w:lastRenderedPageBreak/>
        <w:t xml:space="preserve">Tenggara itu mendorong Indonesia, Malaysia, dan Filipina untuk menyepakati perjanjian </w:t>
      </w:r>
      <w:r w:rsidRPr="003E74FF">
        <w:rPr>
          <w:rFonts w:ascii="Garamond" w:eastAsia="Calibri" w:hAnsi="Garamond" w:cs="Calibri"/>
          <w:i/>
          <w:color w:val="000000"/>
        </w:rPr>
        <w:t xml:space="preserve">Southeast Asian Trilateral Counter-terrorism </w:t>
      </w:r>
      <w:r w:rsidRPr="003E74FF">
        <w:rPr>
          <w:rFonts w:ascii="Garamond" w:eastAsia="Calibri" w:hAnsi="Garamond" w:cs="Calibri"/>
          <w:color w:val="000000"/>
        </w:rPr>
        <w:t>(Swanström &amp; Björnehed, 2004).</w:t>
      </w:r>
    </w:p>
    <w:p w14:paraId="51D14092" w14:textId="77777777" w:rsidR="009A69F5" w:rsidRPr="003E74FF" w:rsidRDefault="00844F89" w:rsidP="00FC31F4">
      <w:pPr>
        <w:pStyle w:val="Heading1"/>
        <w:keepNext/>
        <w:spacing w:before="240" w:beforeAutospacing="0" w:after="0" w:afterAutospacing="0" w:line="276" w:lineRule="auto"/>
        <w:rPr>
          <w:rFonts w:ascii="Garamond" w:eastAsia="Calibri" w:hAnsi="Garamond" w:cs="Calibri"/>
          <w:b w:val="0"/>
          <w:color w:val="000000"/>
          <w:sz w:val="22"/>
          <w:szCs w:val="22"/>
        </w:rPr>
      </w:pPr>
      <w:r w:rsidRPr="00FC31F4">
        <w:rPr>
          <w:rFonts w:ascii="Garamond" w:hAnsi="Garamond" w:cs="Arial"/>
          <w:kern w:val="2"/>
          <w:sz w:val="22"/>
          <w:szCs w:val="22"/>
          <w:lang w:eastAsia="en-US"/>
        </w:rPr>
        <w:t>Terorisme</w:t>
      </w:r>
      <w:r w:rsidRPr="003E74FF">
        <w:rPr>
          <w:rFonts w:ascii="Garamond" w:eastAsia="Calibri" w:hAnsi="Garamond" w:cs="Calibri"/>
          <w:color w:val="000000"/>
          <w:sz w:val="22"/>
          <w:szCs w:val="22"/>
        </w:rPr>
        <w:t xml:space="preserve"> Keagamaan di Indonesia </w:t>
      </w:r>
    </w:p>
    <w:p w14:paraId="63A6F6C1" w14:textId="77777777" w:rsidR="009A69F5" w:rsidRPr="003E74FF" w:rsidRDefault="00844F89" w:rsidP="00FC31F4">
      <w:pPr>
        <w:pBdr>
          <w:top w:val="nil"/>
          <w:left w:val="nil"/>
          <w:bottom w:val="nil"/>
          <w:right w:val="nil"/>
          <w:between w:val="nil"/>
        </w:pBdr>
        <w:spacing w:after="0"/>
        <w:ind w:firstLine="426"/>
        <w:contextualSpacing/>
        <w:jc w:val="both"/>
        <w:rPr>
          <w:rFonts w:ascii="Garamond" w:eastAsia="Calibri" w:hAnsi="Garamond" w:cs="Calibri"/>
          <w:color w:val="000000"/>
        </w:rPr>
      </w:pPr>
      <w:r w:rsidRPr="003E74FF">
        <w:rPr>
          <w:rFonts w:ascii="Garamond" w:eastAsia="Calibri" w:hAnsi="Garamond" w:cs="Calibri"/>
          <w:color w:val="000000"/>
        </w:rPr>
        <w:t xml:space="preserve">Struktur JI menempatkan Hambali sebagai ketua regional syuro Jamaah Islamiyah. Adanya fatwa </w:t>
      </w:r>
      <w:r w:rsidRPr="003E74FF">
        <w:rPr>
          <w:rFonts w:ascii="Garamond" w:hAnsi="Garamond"/>
        </w:rPr>
        <w:t>Osama</w:t>
      </w:r>
      <w:r w:rsidRPr="003E74FF">
        <w:rPr>
          <w:rFonts w:ascii="Garamond" w:eastAsia="Calibri" w:hAnsi="Garamond" w:cs="Calibri"/>
          <w:color w:val="000000"/>
        </w:rPr>
        <w:t xml:space="preserve"> bin Laden yang memperbolehkan menyerang warga Amerika Serikat dan sekutunya di mana saja mempengaruhi lahirnya rencana balas dendam bersama Mantiqi I. </w:t>
      </w:r>
    </w:p>
    <w:p w14:paraId="17554287" w14:textId="77777777" w:rsidR="009A69F5" w:rsidRPr="006A33B8" w:rsidRDefault="00844F89" w:rsidP="006A33B8">
      <w:pPr>
        <w:pStyle w:val="Heading2"/>
        <w:numPr>
          <w:ilvl w:val="0"/>
          <w:numId w:val="4"/>
        </w:numPr>
        <w:spacing w:before="120" w:line="276" w:lineRule="auto"/>
        <w:ind w:left="284" w:hanging="284"/>
        <w:rPr>
          <w:rFonts w:ascii="Garamond" w:eastAsia="Calibri" w:hAnsi="Garamond" w:cs="Calibri"/>
          <w:bCs w:val="0"/>
          <w:i/>
          <w:iCs/>
          <w:color w:val="000000"/>
          <w:sz w:val="22"/>
          <w:szCs w:val="22"/>
        </w:rPr>
      </w:pPr>
      <w:r w:rsidRPr="006A33B8">
        <w:rPr>
          <w:rFonts w:ascii="Garamond" w:eastAsia="Calibri" w:hAnsi="Garamond" w:cs="Calibri"/>
          <w:bCs w:val="0"/>
          <w:i/>
          <w:iCs/>
          <w:color w:val="000000"/>
          <w:sz w:val="22"/>
          <w:szCs w:val="22"/>
        </w:rPr>
        <w:t>Teror Natal dan Bom Bali (2000)</w:t>
      </w:r>
    </w:p>
    <w:p w14:paraId="3CE5E48C" w14:textId="77777777" w:rsidR="009A69F5" w:rsidRPr="003E74FF" w:rsidRDefault="00844F89" w:rsidP="00332417">
      <w:pPr>
        <w:spacing w:after="0"/>
        <w:ind w:left="284" w:firstLine="426"/>
        <w:contextualSpacing/>
        <w:jc w:val="both"/>
        <w:rPr>
          <w:rFonts w:ascii="Garamond" w:eastAsia="Calibri" w:hAnsi="Garamond" w:cs="Calibri"/>
          <w:color w:val="000000"/>
        </w:rPr>
      </w:pPr>
      <w:r w:rsidRPr="003E74FF">
        <w:rPr>
          <w:rFonts w:ascii="Garamond" w:eastAsia="Calibri" w:hAnsi="Garamond" w:cs="Calibri"/>
          <w:color w:val="000000"/>
        </w:rPr>
        <w:t>Tokoh-tokoh Mantiqi I merupakan alumni Afghanistan asal Indonesia, sehingga  gerakan yang dilakukannya menyasar gereja-gereja dan orang non-muslim yang telah melakukan penyerangan kepada umat Islam di Maluku dan Poso. Serangan ini sekaligus bentuk kekecewaan atas kepemimpinan Abu Bakar Ba’asyir yang menggantikan Abdullah Sungkar sebagai pemimpin JI pada akhir 1999, sehingga Mantiqi I bertindak sendiri tanpa koordinasi (Abas, 2005, hal. 166). Aksi kelompok Hambali di Indonesia terkenal dengan Bom Malam Natal 2000 yang didanai tokoh Al-Qaeda Khalid Sheikh Muhammad. Strategi penyerangan juga dilakukan terhadap simbol-simbol kepentingan Dunia Barat, yaitu Bom Bali I pada Oktober 2002 dan Bom Marriot pada 5 Agustus 2003. Hambali tertangkap di Thailand pada 11 Agustus 2003 sehingga program serangan target-target lainnya dilanjutkan oleh anggota hasil binaan ketua Mantiqi I, Mukhlas alias Ali Ghufron, beberapa anggota itu seperti Noordin M. Top dan Dr. Azhari (Ali, 2014, hal. 250–259).</w:t>
      </w:r>
    </w:p>
    <w:p w14:paraId="5A7DAED7" w14:textId="77777777" w:rsidR="009A69F5" w:rsidRPr="003E74FF" w:rsidRDefault="00844F89" w:rsidP="00332417">
      <w:pPr>
        <w:spacing w:after="0"/>
        <w:ind w:left="284" w:firstLine="426"/>
        <w:contextualSpacing/>
        <w:jc w:val="both"/>
        <w:rPr>
          <w:rFonts w:ascii="Garamond" w:eastAsia="Calibri" w:hAnsi="Garamond" w:cs="Calibri"/>
          <w:color w:val="000000"/>
        </w:rPr>
      </w:pPr>
      <w:r w:rsidRPr="003E74FF">
        <w:rPr>
          <w:rFonts w:ascii="Garamond" w:eastAsia="Calibri" w:hAnsi="Garamond" w:cs="Calibri"/>
          <w:color w:val="000000"/>
        </w:rPr>
        <w:t xml:space="preserve">Komando Mantiqi I memiliki 9 (sembilan) kelompok. Tiga kelompok sebagai tim persiapan, penyembunyian pelaku, pendanaan, dan survei lokasi, yaitu kelompok Serang (13 orang), Abdul Rauf (4 orang), dan Sukoharjo (2 orang). Dua kelompok terlibat langsung dalam peledakan yang terdiri atas kelompok Lamongan (11 orang) dan Bali (4 orang). Khusus kelompok Solo (9 orang) menangani skenario pasca-ledakan, dan kelompok yang terlibat secara tidak langsung yaitu kelompok Riau dan Manado (Djelantik, 2010, hal. 3). Jaringan ini terbongkar seiring penangkapan Ali </w:t>
      </w:r>
      <w:r w:rsidRPr="003E74FF">
        <w:rPr>
          <w:rFonts w:ascii="Garamond" w:hAnsi="Garamond"/>
        </w:rPr>
        <w:t>Gufron</w:t>
      </w:r>
      <w:r w:rsidRPr="003E74FF">
        <w:rPr>
          <w:rFonts w:ascii="Garamond" w:eastAsia="Calibri" w:hAnsi="Garamond" w:cs="Calibri"/>
          <w:color w:val="000000"/>
        </w:rPr>
        <w:t>, Imam Samudra, dan Amrozi Nurhasyim.</w:t>
      </w:r>
    </w:p>
    <w:p w14:paraId="22A96219" w14:textId="77777777" w:rsidR="009A69F5" w:rsidRPr="003E74FF" w:rsidRDefault="00844F89" w:rsidP="00332417">
      <w:pPr>
        <w:spacing w:after="0"/>
        <w:ind w:left="284" w:firstLine="426"/>
        <w:contextualSpacing/>
        <w:jc w:val="both"/>
        <w:rPr>
          <w:rFonts w:ascii="Garamond" w:eastAsia="Calibri" w:hAnsi="Garamond" w:cs="Calibri"/>
          <w:color w:val="000000"/>
        </w:rPr>
      </w:pPr>
      <w:r w:rsidRPr="003E74FF">
        <w:rPr>
          <w:rFonts w:ascii="Garamond" w:eastAsia="Calibri" w:hAnsi="Garamond" w:cs="Calibri"/>
          <w:color w:val="000000"/>
        </w:rPr>
        <w:lastRenderedPageBreak/>
        <w:t>Keberlanjutan jaringan Mantiqi I dipimpin oleh Noordin M. Top dan Dr. Azhari dengan ditandai aksi pengeboman di kawasan Kedutaan Besar Australia pada 9 September 2004 oleh Herry Gulun serta bom Bali II pada 1 Oktober 2005 di Jimbaran dan Kuta Bali. Dr. Azhari tertembak dalam pengepungan di Batu Malang pada 9 November 2005, sehingga komando program serangan berikutnya dipimpin oleh Noordin M. Top dengan peledakan hotel Marriot-</w:t>
      </w:r>
      <w:r w:rsidRPr="00332417">
        <w:rPr>
          <w:rFonts w:ascii="Garamond" w:hAnsi="Garamond"/>
        </w:rPr>
        <w:t>Ritz</w:t>
      </w:r>
      <w:r w:rsidRPr="003E74FF">
        <w:rPr>
          <w:rFonts w:ascii="Garamond" w:eastAsia="Calibri" w:hAnsi="Garamond" w:cs="Calibri"/>
          <w:color w:val="000000"/>
        </w:rPr>
        <w:t xml:space="preserve"> Carlton pada 17 Juni 2009 oleh Dani Dwi Permana beserta jaringan kelompok Jati Asih binaan Noordin M. Top (Mbai, 2014, hal. 19).</w:t>
      </w:r>
    </w:p>
    <w:p w14:paraId="57251373" w14:textId="77777777" w:rsidR="009A69F5" w:rsidRPr="003E74FF" w:rsidRDefault="00844F89" w:rsidP="00332417">
      <w:pPr>
        <w:spacing w:after="0"/>
        <w:ind w:left="284" w:firstLine="426"/>
        <w:contextualSpacing/>
        <w:jc w:val="both"/>
        <w:rPr>
          <w:rFonts w:ascii="Garamond" w:eastAsia="Calibri" w:hAnsi="Garamond" w:cs="Calibri"/>
          <w:color w:val="000000"/>
        </w:rPr>
      </w:pPr>
      <w:r w:rsidRPr="003E74FF">
        <w:rPr>
          <w:rFonts w:ascii="Garamond" w:eastAsia="Calibri" w:hAnsi="Garamond" w:cs="Calibri"/>
          <w:color w:val="000000"/>
        </w:rPr>
        <w:t xml:space="preserve">Pengejaran Densus 88 terhadap Noordin M. Top difokuskan pada wilayah Jawa Tengah karena keberadaan kelompok Thoifah Muqotilah (pasukan tempur) dan Tanzim Qoidatul Jihad sebagai sempalan Al-Qaeda yang didirikan oleh Abdullah Sungkar dan Abu Bakar Ba’asyir di Solo. Kelompok ini </w:t>
      </w:r>
      <w:r w:rsidRPr="00332417">
        <w:rPr>
          <w:rFonts w:ascii="Garamond" w:hAnsi="Garamond"/>
        </w:rPr>
        <w:t>menjadi</w:t>
      </w:r>
      <w:r w:rsidRPr="003E74FF">
        <w:rPr>
          <w:rFonts w:ascii="Garamond" w:eastAsia="Calibri" w:hAnsi="Garamond" w:cs="Calibri"/>
          <w:color w:val="000000"/>
        </w:rPr>
        <w:t xml:space="preserve"> jaringan anak buah Noordin M. Top setelah terbunuhnya Dr. Azhari. Persembunyian Noordin M. Top berakhir setelah dilakukan penyergapan Densus 88 di kelurahan Mojosongo, Kecamatan Jebres, Solo, pada 17 September 2009 (</w:t>
      </w:r>
      <w:r w:rsidRPr="003E74FF">
        <w:rPr>
          <w:rFonts w:ascii="Garamond" w:hAnsi="Garamond"/>
        </w:rPr>
        <w:t>Nur Khoiri</w:t>
      </w:r>
      <w:r w:rsidRPr="003E74FF">
        <w:rPr>
          <w:rFonts w:ascii="Garamond" w:eastAsia="Calibri" w:hAnsi="Garamond" w:cs="Calibri"/>
          <w:color w:val="000000"/>
        </w:rPr>
        <w:t>, 2009).</w:t>
      </w:r>
    </w:p>
    <w:p w14:paraId="44680FB9" w14:textId="77777777" w:rsidR="009A69F5" w:rsidRPr="006A33B8" w:rsidRDefault="00844F89" w:rsidP="006A33B8">
      <w:pPr>
        <w:pStyle w:val="Heading2"/>
        <w:numPr>
          <w:ilvl w:val="0"/>
          <w:numId w:val="4"/>
        </w:numPr>
        <w:spacing w:before="120" w:line="276" w:lineRule="auto"/>
        <w:ind w:left="284" w:hanging="284"/>
        <w:rPr>
          <w:rFonts w:ascii="Garamond" w:eastAsia="Calibri" w:hAnsi="Garamond" w:cs="Calibri"/>
          <w:bCs w:val="0"/>
          <w:i/>
          <w:iCs/>
          <w:color w:val="000000"/>
          <w:sz w:val="22"/>
          <w:szCs w:val="22"/>
        </w:rPr>
      </w:pPr>
      <w:r w:rsidRPr="006A33B8">
        <w:rPr>
          <w:rFonts w:ascii="Garamond" w:eastAsia="Calibri" w:hAnsi="Garamond" w:cs="Calibri"/>
          <w:bCs w:val="0"/>
          <w:i/>
          <w:iCs/>
          <w:color w:val="000000"/>
          <w:sz w:val="22"/>
          <w:szCs w:val="22"/>
        </w:rPr>
        <w:t>Lintas Tanzhim Aceh (2010)</w:t>
      </w:r>
    </w:p>
    <w:p w14:paraId="67300A17" w14:textId="77777777" w:rsidR="009A69F5" w:rsidRPr="003E74FF" w:rsidRDefault="00844F89" w:rsidP="00332417">
      <w:pPr>
        <w:spacing w:after="0"/>
        <w:ind w:left="284" w:firstLine="426"/>
        <w:contextualSpacing/>
        <w:jc w:val="both"/>
        <w:rPr>
          <w:rFonts w:ascii="Garamond" w:eastAsia="Calibri" w:hAnsi="Garamond" w:cs="Calibri"/>
          <w:color w:val="000000"/>
        </w:rPr>
      </w:pPr>
      <w:r w:rsidRPr="003E74FF">
        <w:rPr>
          <w:rFonts w:ascii="Garamond" w:eastAsia="Calibri" w:hAnsi="Garamond" w:cs="Calibri"/>
          <w:color w:val="000000"/>
        </w:rPr>
        <w:t xml:space="preserve">Gerakan teror setelah Noordin M. Top dilanjutkan oleh Dulmatin, Umar Patek, Zulkarnain, dan Jaja dengan kelompok Banten (Ramelan, 2009, hal. 164). Mobilisasi sel-sel jaringan terorisme dilakukan oleh Dulmatin dengan dukungan Abu Bakar Ba’asyir sebagai amir Jamaah Ansharut Tauhid (JAT) melalui pelatihan militer di Bukit </w:t>
      </w:r>
      <w:r w:rsidRPr="003E74FF">
        <w:rPr>
          <w:rFonts w:ascii="Garamond" w:hAnsi="Garamond"/>
        </w:rPr>
        <w:t>Jantho</w:t>
      </w:r>
      <w:r w:rsidRPr="003E74FF">
        <w:rPr>
          <w:rFonts w:ascii="Garamond" w:eastAsia="Calibri" w:hAnsi="Garamond" w:cs="Calibri"/>
          <w:color w:val="000000"/>
        </w:rPr>
        <w:t>, Aceh Besar, sejak Juli 2009. Para kader dari berbagai kelompok ikut bergabung, seperti JAT, kelompok Dulmatin, Ring Banten sebagai bagian dari faksi DI Jawa Barat, faksi DI Enceng Kurnia, Mujahidin KOMPAK, Tauhid wal Jihad, eks NII, Mujahidin Lampung, dan alumni Poso. Polisi mampu mengungkap pelatihan terorisme lintas jaringan tersebut pada 22 Pebruari 2010, sehingga menyebabkan terpencar-pencarnya buronan terorisme ke seluruh Indonesia (Group, 2012).</w:t>
      </w:r>
    </w:p>
    <w:p w14:paraId="3900050C" w14:textId="77777777" w:rsidR="009A69F5" w:rsidRPr="003E74FF" w:rsidRDefault="00844F89" w:rsidP="00332417">
      <w:pPr>
        <w:spacing w:after="0"/>
        <w:ind w:left="284" w:firstLine="426"/>
        <w:contextualSpacing/>
        <w:jc w:val="both"/>
        <w:rPr>
          <w:rFonts w:ascii="Garamond" w:eastAsia="Calibri" w:hAnsi="Garamond" w:cs="Calibri"/>
          <w:color w:val="000000"/>
        </w:rPr>
      </w:pPr>
      <w:r w:rsidRPr="003E74FF">
        <w:rPr>
          <w:rFonts w:ascii="Garamond" w:eastAsia="Calibri" w:hAnsi="Garamond" w:cs="Calibri"/>
          <w:color w:val="000000"/>
        </w:rPr>
        <w:t xml:space="preserve">Dulmatin tewas tertembak dalam penyergapan Densus 88 pada 9 Maret 2010 di Pamulang, Tangerang Selatan. Umar Patek sendiri tertangkap pada 25 Januari 2011 di Pakistan dan dipulangkan ke Indonesia dengan menjalani persidangan di Pengadilan Negeri Jakarta Barat, serta mengakui kesalahannya dalam aksi Bom Bali I sehingga hakim menjatuhkan vonis penjara 20 tahun dalam sidang 21 Juni 2012 </w:t>
      </w:r>
      <w:r w:rsidRPr="003E74FF">
        <w:rPr>
          <w:rFonts w:ascii="Garamond" w:eastAsia="Calibri" w:hAnsi="Garamond" w:cs="Calibri"/>
          <w:color w:val="000000"/>
        </w:rPr>
        <w:lastRenderedPageBreak/>
        <w:t>(Desyana, 2012). Penangkapan dua tokoh tersebut semakin memperbanyak sel-sel jaringan terorisme yang lebih kecil anggotanya untuk menghindari aparat.</w:t>
      </w:r>
    </w:p>
    <w:p w14:paraId="50CE7E64" w14:textId="77777777" w:rsidR="009A69F5" w:rsidRPr="006A33B8" w:rsidRDefault="00844F89" w:rsidP="006A33B8">
      <w:pPr>
        <w:pStyle w:val="Heading2"/>
        <w:numPr>
          <w:ilvl w:val="0"/>
          <w:numId w:val="4"/>
        </w:numPr>
        <w:spacing w:before="120" w:line="276" w:lineRule="auto"/>
        <w:ind w:left="284" w:hanging="284"/>
        <w:rPr>
          <w:rFonts w:ascii="Garamond" w:eastAsia="Calibri" w:hAnsi="Garamond" w:cs="Calibri"/>
          <w:bCs w:val="0"/>
          <w:i/>
          <w:iCs/>
          <w:color w:val="000000"/>
          <w:sz w:val="22"/>
          <w:szCs w:val="22"/>
        </w:rPr>
      </w:pPr>
      <w:r w:rsidRPr="006A33B8">
        <w:rPr>
          <w:rFonts w:ascii="Garamond" w:eastAsia="Calibri" w:hAnsi="Garamond" w:cs="Calibri"/>
          <w:bCs w:val="0"/>
          <w:i/>
          <w:iCs/>
          <w:color w:val="000000"/>
          <w:sz w:val="22"/>
          <w:szCs w:val="22"/>
        </w:rPr>
        <w:t>ISIS Indonesia (2014)</w:t>
      </w:r>
    </w:p>
    <w:p w14:paraId="1CD3A4C9" w14:textId="77777777" w:rsidR="009A69F5" w:rsidRPr="003E74FF" w:rsidRDefault="00844F89" w:rsidP="00332417">
      <w:pPr>
        <w:spacing w:after="0"/>
        <w:ind w:left="284" w:firstLine="426"/>
        <w:contextualSpacing/>
        <w:jc w:val="both"/>
        <w:rPr>
          <w:rFonts w:ascii="Garamond" w:eastAsia="Calibri" w:hAnsi="Garamond" w:cs="Calibri"/>
          <w:color w:val="000000"/>
        </w:rPr>
      </w:pPr>
      <w:r w:rsidRPr="003E74FF">
        <w:rPr>
          <w:rFonts w:ascii="Garamond" w:eastAsia="Calibri" w:hAnsi="Garamond" w:cs="Calibri"/>
          <w:color w:val="000000"/>
        </w:rPr>
        <w:t xml:space="preserve">Pernyataan ikrar dukungan terhadap ISIS terjadi di berbagai wilayah Indonesia, seperti yang dilakukan sekitar 50 warga Pekayon Jaya, Bekasi Selatan, pimpinan anggota JAT, Syamsudin Uba. Simpatisan ISIS di Indonesia berasal dari </w:t>
      </w:r>
      <w:r w:rsidRPr="003E74FF">
        <w:rPr>
          <w:rFonts w:ascii="Garamond" w:eastAsia="Calibri" w:hAnsi="Garamond" w:cs="Calibri"/>
          <w:color w:val="000000"/>
          <w:highlight w:val="white"/>
        </w:rPr>
        <w:t xml:space="preserve">gabungan beberapa kelompok radikal sebelumnya, yaitu: JI, JAT, MIT, dan MIB. </w:t>
      </w:r>
      <w:r w:rsidRPr="003E74FF">
        <w:rPr>
          <w:rFonts w:ascii="Garamond" w:eastAsia="Calibri" w:hAnsi="Garamond" w:cs="Calibri"/>
          <w:color w:val="000000"/>
        </w:rPr>
        <w:t>Bahrumsyah alias Abu Muhammad Al-</w:t>
      </w:r>
      <w:r w:rsidRPr="003E74FF">
        <w:rPr>
          <w:rFonts w:ascii="Garamond" w:hAnsi="Garamond"/>
        </w:rPr>
        <w:t>Indonesi</w:t>
      </w:r>
      <w:r w:rsidRPr="003E74FF">
        <w:rPr>
          <w:rFonts w:ascii="Garamond" w:eastAsia="Calibri" w:hAnsi="Garamond" w:cs="Calibri"/>
          <w:color w:val="000000"/>
        </w:rPr>
        <w:t xml:space="preserve"> melakukan propaganda </w:t>
      </w:r>
      <w:r w:rsidRPr="003E74FF">
        <w:rPr>
          <w:rFonts w:ascii="Garamond" w:hAnsi="Garamond"/>
        </w:rPr>
        <w:t>menentang</w:t>
      </w:r>
      <w:r w:rsidRPr="003E74FF">
        <w:rPr>
          <w:rFonts w:ascii="Garamond" w:eastAsia="Calibri" w:hAnsi="Garamond" w:cs="Calibri"/>
          <w:color w:val="000000"/>
        </w:rPr>
        <w:t xml:space="preserve"> pemerintah Indonesia, TNI, dan Gerakan Pemuda </w:t>
      </w:r>
      <w:r w:rsidRPr="003E74FF">
        <w:rPr>
          <w:rFonts w:ascii="Garamond" w:hAnsi="Garamond"/>
        </w:rPr>
        <w:t>Ansor</w:t>
      </w:r>
      <w:r w:rsidRPr="003E74FF">
        <w:rPr>
          <w:rFonts w:ascii="Garamond" w:eastAsia="Calibri" w:hAnsi="Garamond" w:cs="Calibri"/>
          <w:color w:val="000000"/>
        </w:rPr>
        <w:t xml:space="preserve"> NU. Sosok ini masih terkait dengan jaringan terorisme Poso, pimpinan Santoso. Keterlibatan JAT dalam mendukung ISIS dapat dilihat pada baiat yang dilakukan oleh 23 narapidana terorisme pimpinan Abu Bakar Ba’asyir di Lapas Pasir Putih, Nusakambangan. Warisan ideologi dapat mempengaruhi kelanjutan perjuangan terorisme kendati berubah bentuk gerakan dan aksi. Berdasarkan kategorisasi bentuk terorisme Grant Wardlaw, perlawanan sipil bersenjata oleh DI/TII atau Jamaah Islamiyah menunjukkan bahwa bentuk terorisme di Indonesia berupa terorisme </w:t>
      </w:r>
      <w:r w:rsidRPr="003E74FF">
        <w:rPr>
          <w:rFonts w:ascii="Garamond" w:hAnsi="Garamond"/>
        </w:rPr>
        <w:t>sub revolusioner</w:t>
      </w:r>
      <w:r w:rsidRPr="003E74FF">
        <w:rPr>
          <w:rFonts w:ascii="Garamond" w:eastAsia="Calibri" w:hAnsi="Garamond" w:cs="Calibri"/>
          <w:color w:val="000000"/>
        </w:rPr>
        <w:t xml:space="preserve"> yang dipengaruhi adanya solidaritas balas dendam dan tampilan identitas jaringan (Wardlaw, 1986, hal. 14–15).</w:t>
      </w:r>
    </w:p>
    <w:p w14:paraId="16FC7B11" w14:textId="3515D8FB" w:rsidR="009A69F5" w:rsidRPr="003E74FF" w:rsidRDefault="00844F89" w:rsidP="00332417">
      <w:pPr>
        <w:spacing w:after="0"/>
        <w:ind w:left="284" w:firstLine="426"/>
        <w:contextualSpacing/>
        <w:jc w:val="both"/>
        <w:rPr>
          <w:rFonts w:ascii="Garamond" w:hAnsi="Garamond"/>
        </w:rPr>
      </w:pPr>
      <w:r w:rsidRPr="003E74FF">
        <w:rPr>
          <w:rFonts w:ascii="Garamond" w:eastAsia="Calibri" w:hAnsi="Garamond" w:cs="Calibri"/>
          <w:color w:val="000000"/>
        </w:rPr>
        <w:t xml:space="preserve">Aksi-aksi teror di Indonesia sebagai representasi dukungan terhadap ISIS digerakkan oleh sosok Bahrun Naim di </w:t>
      </w:r>
      <w:r w:rsidRPr="003E74FF">
        <w:rPr>
          <w:rFonts w:ascii="Garamond" w:hAnsi="Garamond"/>
        </w:rPr>
        <w:t>Suriah</w:t>
      </w:r>
      <w:r w:rsidRPr="003E74FF">
        <w:rPr>
          <w:rFonts w:ascii="Garamond" w:eastAsia="Calibri" w:hAnsi="Garamond" w:cs="Calibri"/>
          <w:color w:val="000000"/>
        </w:rPr>
        <w:t>. Pada 2016, terbongkar adanya upaya peledakan bom bunuh diri di Istana Merdeka Jakarta, sekaligus penangkapan kelompok Medan, Pamulang, Karawang, Bekasi, dan Jakarta.</w:t>
      </w:r>
    </w:p>
    <w:p w14:paraId="6F09E7C1" w14:textId="77777777" w:rsidR="009A69F5" w:rsidRPr="003E74FF" w:rsidRDefault="00844F89" w:rsidP="00FC31F4">
      <w:pPr>
        <w:pStyle w:val="Heading1"/>
        <w:keepNext/>
        <w:spacing w:before="240" w:beforeAutospacing="0" w:after="0" w:afterAutospacing="0" w:line="276" w:lineRule="auto"/>
        <w:rPr>
          <w:rFonts w:ascii="Garamond" w:hAnsi="Garamond"/>
          <w:sz w:val="22"/>
          <w:szCs w:val="22"/>
        </w:rPr>
      </w:pPr>
      <w:r w:rsidRPr="003E74FF">
        <w:rPr>
          <w:rFonts w:ascii="Garamond" w:hAnsi="Garamond"/>
          <w:sz w:val="22"/>
          <w:szCs w:val="22"/>
        </w:rPr>
        <w:t xml:space="preserve">D. </w:t>
      </w:r>
      <w:r w:rsidRPr="00FC31F4">
        <w:rPr>
          <w:rFonts w:ascii="Garamond" w:hAnsi="Garamond" w:cs="Arial"/>
          <w:kern w:val="2"/>
          <w:sz w:val="22"/>
          <w:szCs w:val="22"/>
          <w:lang w:eastAsia="en-US"/>
        </w:rPr>
        <w:t>Penutup</w:t>
      </w:r>
    </w:p>
    <w:p w14:paraId="6A0CDA3C" w14:textId="77777777" w:rsidR="009A69F5" w:rsidRPr="003E74FF" w:rsidRDefault="00844F89" w:rsidP="00FC31F4">
      <w:pPr>
        <w:spacing w:after="0"/>
        <w:ind w:firstLine="426"/>
        <w:contextualSpacing/>
        <w:jc w:val="both"/>
        <w:rPr>
          <w:rFonts w:ascii="Garamond" w:hAnsi="Garamond"/>
        </w:rPr>
      </w:pPr>
      <w:r w:rsidRPr="003E74FF">
        <w:rPr>
          <w:rFonts w:ascii="Garamond" w:hAnsi="Garamond" w:cs="Times New Roman"/>
          <w:color w:val="000000"/>
        </w:rPr>
        <w:t xml:space="preserve">Berdasarkan uraian pada pembahasan </w:t>
      </w:r>
      <w:r w:rsidRPr="003E74FF">
        <w:rPr>
          <w:rFonts w:ascii="Garamond" w:hAnsi="Garamond" w:cs="Times New Roman"/>
        </w:rPr>
        <w:t>diatas</w:t>
      </w:r>
      <w:r w:rsidRPr="003E74FF">
        <w:rPr>
          <w:rFonts w:ascii="Garamond" w:hAnsi="Garamond" w:cs="Times New Roman"/>
          <w:color w:val="000000"/>
        </w:rPr>
        <w:t xml:space="preserve">, maka dapat disimpulkan bahwa </w:t>
      </w:r>
      <w:r w:rsidRPr="003E74FF">
        <w:rPr>
          <w:rFonts w:ascii="Garamond" w:hAnsi="Garamond"/>
        </w:rPr>
        <w:t xml:space="preserve">definisi terorisme mempunyai karakteristik yang sama, yaitu membenarkan adanya kekerasan, penolakan terhadap politik tertentu, dan memiliki dampak sosial yang luas. Karakteristik demikian untuk mengidentifikasi tipe atau bentuk-bentuk terorisme sesuai dengan kategorisasi pelaku, sifat, maupun sisi aksi yang dilakukan. </w:t>
      </w:r>
    </w:p>
    <w:p w14:paraId="0A1D2B35" w14:textId="77777777" w:rsidR="009A69F5" w:rsidRPr="003E74FF" w:rsidRDefault="00844F89" w:rsidP="00FC31F4">
      <w:pPr>
        <w:pBdr>
          <w:top w:val="nil"/>
          <w:left w:val="nil"/>
          <w:bottom w:val="nil"/>
          <w:right w:val="nil"/>
          <w:between w:val="nil"/>
        </w:pBdr>
        <w:spacing w:after="0"/>
        <w:ind w:firstLine="426"/>
        <w:contextualSpacing/>
        <w:jc w:val="both"/>
        <w:rPr>
          <w:rFonts w:ascii="Garamond" w:eastAsia="Calibri" w:hAnsi="Garamond" w:cs="Calibri"/>
          <w:color w:val="000000"/>
        </w:rPr>
      </w:pPr>
      <w:r w:rsidRPr="003E74FF">
        <w:rPr>
          <w:rFonts w:ascii="Garamond" w:eastAsia="Calibri" w:hAnsi="Garamond" w:cs="Calibri"/>
          <w:color w:val="000000"/>
        </w:rPr>
        <w:t xml:space="preserve">Gerakan reformasi Islam yang semula menyatakan Islam klasik sebagai penyebab kemunduran Islam, beralih sasaran untuk merekonstruksi ulang </w:t>
      </w:r>
      <w:r w:rsidRPr="003E74FF">
        <w:rPr>
          <w:rFonts w:ascii="Garamond" w:eastAsia="Calibri" w:hAnsi="Garamond" w:cs="Calibri"/>
          <w:color w:val="000000"/>
        </w:rPr>
        <w:lastRenderedPageBreak/>
        <w:t xml:space="preserve">ideologi politik modern. Gerakan tersebut berjalan seiring berkembangnya ideologi jihad kontemporer yang dipengaruhi pemikiran Sayyid Quthb. Pemikiran Quthb membagi masyarakat atas 2 (dua) kelompok, yaitu masyarakat </w:t>
      </w:r>
      <w:r w:rsidRPr="003E74FF">
        <w:rPr>
          <w:rFonts w:ascii="Garamond" w:eastAsia="Calibri" w:hAnsi="Garamond" w:cs="Calibri"/>
          <w:i/>
          <w:color w:val="000000"/>
        </w:rPr>
        <w:t>jahiliyah</w:t>
      </w:r>
      <w:r w:rsidRPr="003E74FF">
        <w:rPr>
          <w:rFonts w:ascii="Garamond" w:eastAsia="Calibri" w:hAnsi="Garamond" w:cs="Calibri"/>
          <w:color w:val="000000"/>
        </w:rPr>
        <w:t xml:space="preserve"> yang melakukan pengingkaran hukum-hukum Allah dan masyarakat Islam yang menerapkan hukum Allah (</w:t>
      </w:r>
      <w:r w:rsidRPr="003E74FF">
        <w:rPr>
          <w:rFonts w:ascii="Garamond" w:eastAsia="Calibri" w:hAnsi="Garamond" w:cs="Calibri"/>
          <w:i/>
          <w:color w:val="000000"/>
        </w:rPr>
        <w:t>al-hakimiyyah lillāh</w:t>
      </w:r>
      <w:r w:rsidRPr="003E74FF">
        <w:rPr>
          <w:rFonts w:ascii="Garamond" w:eastAsia="Calibri" w:hAnsi="Garamond" w:cs="Calibri"/>
          <w:color w:val="000000"/>
        </w:rPr>
        <w:t xml:space="preserve">). Kemunduran yang dihadapi umat Islam di berbagai negara, mulai </w:t>
      </w:r>
      <w:r w:rsidRPr="003E74FF">
        <w:rPr>
          <w:rFonts w:ascii="Garamond" w:hAnsi="Garamond"/>
        </w:rPr>
        <w:t>dari</w:t>
      </w:r>
      <w:r w:rsidRPr="003E74FF">
        <w:rPr>
          <w:rFonts w:ascii="Garamond" w:eastAsia="Calibri" w:hAnsi="Garamond" w:cs="Calibri"/>
          <w:color w:val="000000"/>
        </w:rPr>
        <w:t xml:space="preserve"> kemunduran ekonomi, pemerintahan, dan moralitas masyarakat seakan mendapatkan jawaban karena budaya </w:t>
      </w:r>
      <w:r w:rsidRPr="003E74FF">
        <w:rPr>
          <w:rFonts w:ascii="Garamond" w:eastAsia="Calibri" w:hAnsi="Garamond" w:cs="Calibri"/>
          <w:i/>
          <w:color w:val="000000"/>
        </w:rPr>
        <w:t>jahiliyah</w:t>
      </w:r>
      <w:r w:rsidRPr="003E74FF">
        <w:rPr>
          <w:rFonts w:ascii="Garamond" w:eastAsia="Calibri" w:hAnsi="Garamond" w:cs="Calibri"/>
          <w:color w:val="000000"/>
        </w:rPr>
        <w:t xml:space="preserve"> sebagai akibat tidak diterapkannya hukum Allah berupa hukum Islam secara utuh.</w:t>
      </w:r>
    </w:p>
    <w:p w14:paraId="1C0F49F4" w14:textId="77777777" w:rsidR="009A69F5" w:rsidRPr="003E74FF" w:rsidRDefault="00844F89" w:rsidP="00FC31F4">
      <w:pPr>
        <w:pBdr>
          <w:top w:val="nil"/>
          <w:left w:val="nil"/>
          <w:bottom w:val="nil"/>
          <w:right w:val="nil"/>
          <w:between w:val="nil"/>
        </w:pBdr>
        <w:spacing w:after="0"/>
        <w:ind w:firstLine="426"/>
        <w:contextualSpacing/>
        <w:jc w:val="both"/>
        <w:rPr>
          <w:rFonts w:ascii="Garamond" w:eastAsia="Calibri" w:hAnsi="Garamond" w:cs="Calibri"/>
          <w:color w:val="000000"/>
        </w:rPr>
      </w:pPr>
      <w:r w:rsidRPr="003E74FF">
        <w:rPr>
          <w:rFonts w:ascii="Garamond" w:eastAsia="Calibri" w:hAnsi="Garamond" w:cs="Calibri"/>
          <w:color w:val="000000"/>
        </w:rPr>
        <w:t xml:space="preserve">Transformasi pemikiran Quthb menginspirasi </w:t>
      </w:r>
      <w:r w:rsidRPr="003E74FF">
        <w:rPr>
          <w:rFonts w:ascii="Garamond" w:hAnsi="Garamond"/>
        </w:rPr>
        <w:t>Jama'ah</w:t>
      </w:r>
      <w:r w:rsidRPr="003E74FF">
        <w:rPr>
          <w:rFonts w:ascii="Garamond" w:eastAsia="Calibri" w:hAnsi="Garamond" w:cs="Calibri"/>
          <w:color w:val="000000"/>
        </w:rPr>
        <w:t xml:space="preserve"> Al-Muslimin yang dipimpin Syukri Musthofa, Jamaah Jihad atau Tanzimul Jihad pimpinan Muhammad Abdul Aziz asy-</w:t>
      </w:r>
      <w:r w:rsidRPr="003E74FF">
        <w:rPr>
          <w:rFonts w:ascii="Garamond" w:hAnsi="Garamond"/>
        </w:rPr>
        <w:t>Syaqawi</w:t>
      </w:r>
      <w:r w:rsidRPr="003E74FF">
        <w:rPr>
          <w:rFonts w:ascii="Garamond" w:eastAsia="Calibri" w:hAnsi="Garamond" w:cs="Calibri"/>
          <w:color w:val="000000"/>
        </w:rPr>
        <w:t xml:space="preserve"> bersama Ismail Thanthawi, dan Jamaah Islamiyah yang diprakarsai Umar Abdurrahman, untuk melakukan aksi konkret menerapkan </w:t>
      </w:r>
      <w:r w:rsidRPr="003E74FF">
        <w:rPr>
          <w:rFonts w:ascii="Garamond" w:eastAsia="Calibri" w:hAnsi="Garamond" w:cs="Calibri"/>
          <w:i/>
          <w:color w:val="000000"/>
        </w:rPr>
        <w:t>al-hakimiyyah lillāh</w:t>
      </w:r>
      <w:r w:rsidRPr="003E74FF">
        <w:rPr>
          <w:rFonts w:ascii="Garamond" w:eastAsia="Calibri" w:hAnsi="Garamond" w:cs="Calibri"/>
          <w:color w:val="000000"/>
        </w:rPr>
        <w:t xml:space="preserve"> untuk mengganti hukum kafir jahiliyah. Langkah konkret mengganti pemerintahan kafir merupakan keharusan dan memeranginya menjadi suatu kewajiban sebagaimana pemahaman atas Surat Al-Anfal Ayat 44.</w:t>
      </w:r>
    </w:p>
    <w:p w14:paraId="1194C3E0" w14:textId="77777777" w:rsidR="009A69F5" w:rsidRPr="003E74FF" w:rsidRDefault="00844F89" w:rsidP="00FC31F4">
      <w:pPr>
        <w:pBdr>
          <w:top w:val="nil"/>
          <w:left w:val="nil"/>
          <w:bottom w:val="nil"/>
          <w:right w:val="nil"/>
          <w:between w:val="nil"/>
        </w:pBdr>
        <w:spacing w:after="0"/>
        <w:ind w:firstLine="426"/>
        <w:contextualSpacing/>
        <w:jc w:val="both"/>
        <w:rPr>
          <w:rFonts w:ascii="Garamond" w:eastAsia="Calibri" w:hAnsi="Garamond" w:cs="Calibri"/>
          <w:color w:val="000000"/>
        </w:rPr>
      </w:pPr>
      <w:r w:rsidRPr="003E74FF">
        <w:rPr>
          <w:rFonts w:ascii="Garamond" w:eastAsia="Calibri" w:hAnsi="Garamond" w:cs="Calibri"/>
          <w:color w:val="000000"/>
        </w:rPr>
        <w:t>Pemahaman antara jihad dalam Islam dengan tampilan tindak terorisme yang dilakukan oleh beberapa orang Islam membawa kerancuan pemahaman, baik bagi umat Islam itu sendiri maupun bagi umat non-Islam. Hal itu diakibatkan adanya persepsi bagi beberapa muslim yang memahami bahwa jihad adalah perang melawan kaum kafir Amerika Serikat sehingga dalam mengaktualisasikannya justru mengarah pada tindak kekerasan berdasarkan status kewarganegaraan karena simbol kekuatan Yahudi dan Nasrani. Pemahaman non-muslim pada akhirnya menggeneralisir bahwa jihad adalah bagian dari syariat Islam sehingga menganggap Islam sebagai sumber terorisme. Terorisme dapat diidentifikasi dengan 3 (tiga) sandaran, yaitu metode kekerasan, target pemerintah atau sipil, dan tujuan untuk menanamkan ketakutan serta memaksakan perubahan sosial dan politik.</w:t>
      </w:r>
    </w:p>
    <w:p w14:paraId="132B1EA0" w14:textId="77777777" w:rsidR="009A69F5" w:rsidRPr="003E74FF" w:rsidRDefault="00844F89" w:rsidP="00FC31F4">
      <w:pPr>
        <w:spacing w:after="0"/>
        <w:ind w:firstLine="426"/>
        <w:contextualSpacing/>
        <w:jc w:val="both"/>
        <w:rPr>
          <w:rFonts w:ascii="Garamond" w:hAnsi="Garamond"/>
        </w:rPr>
      </w:pPr>
      <w:r w:rsidRPr="003E74FF">
        <w:rPr>
          <w:rFonts w:ascii="Garamond" w:hAnsi="Garamond"/>
        </w:rPr>
        <w:t xml:space="preserve">Gerakan perlawanan dan perjuangan masyarakat sipil yang berkolaborasi dengan motivasi perjuangan jihad sebagai perang suci melawan musuh Allah, menjadikan jihad mengalami keberagaman makna. Gerakan perlawanan terhadap penguasa yang tidak menerapkan hukum Allah berpendapat bahwa seluruh rezim yang berkuasa di negara muslim adalah murtad dan kafir karena membuat hukum sendiri dan tidak berdasarkan syariat Allah termasuk adanya institusi legislatif, eksekutif, dan </w:t>
      </w:r>
      <w:r w:rsidRPr="003E74FF">
        <w:rPr>
          <w:rFonts w:ascii="Garamond" w:hAnsi="Garamond"/>
        </w:rPr>
        <w:lastRenderedPageBreak/>
        <w:t>yudikatif, sehingga memeranginya adalah perang suci atau jihad. Pandangan demikian didasari keinginan menjadikan sistem politik Islam klasik sebagai bahan rujukan dan berkonsentrasi melawan sistem politik modern, khususnya kapitalisme yang menyerbu dunia muslim.</w:t>
      </w:r>
    </w:p>
    <w:p w14:paraId="7842A714" w14:textId="77777777" w:rsidR="009A69F5" w:rsidRPr="003E74FF" w:rsidRDefault="00844F89" w:rsidP="00FC31F4">
      <w:pPr>
        <w:spacing w:after="0"/>
        <w:ind w:firstLine="567"/>
        <w:contextualSpacing/>
        <w:jc w:val="both"/>
        <w:rPr>
          <w:rFonts w:ascii="Garamond" w:hAnsi="Garamond"/>
        </w:rPr>
      </w:pPr>
      <w:r w:rsidRPr="003E74FF">
        <w:rPr>
          <w:rFonts w:ascii="Garamond" w:hAnsi="Garamond"/>
        </w:rPr>
        <w:t>Kajian ini juga menunjukkan adanya kaitan antara gerakan Jihad Global dengan gerakan-gerakan ekstrim di Indonesia. Hubungan itu bukan hanya berupa inspirasi ideologis, namun juga hubungan langsung kelembagaan.</w:t>
      </w:r>
    </w:p>
    <w:p w14:paraId="3010AAFE" w14:textId="77777777" w:rsidR="009A69F5" w:rsidRPr="003E74FF" w:rsidRDefault="009A69F5" w:rsidP="00FC31F4">
      <w:pPr>
        <w:shd w:val="clear" w:color="auto" w:fill="FFFFFF"/>
        <w:spacing w:after="0"/>
        <w:ind w:hanging="720"/>
        <w:contextualSpacing/>
        <w:jc w:val="both"/>
        <w:rPr>
          <w:rFonts w:ascii="Garamond" w:hAnsi="Garamond"/>
          <w:b/>
        </w:rPr>
      </w:pPr>
    </w:p>
    <w:p w14:paraId="0A7CAE84" w14:textId="1A9790B2" w:rsidR="009A69F5" w:rsidRPr="00076FD7" w:rsidRDefault="00844F89" w:rsidP="00076FD7">
      <w:pPr>
        <w:pStyle w:val="Heading1"/>
        <w:keepNext/>
        <w:spacing w:before="240" w:beforeAutospacing="0" w:after="0" w:afterAutospacing="0" w:line="276" w:lineRule="auto"/>
        <w:rPr>
          <w:rFonts w:ascii="Garamond" w:hAnsi="Garamond" w:cs="Arial"/>
          <w:kern w:val="2"/>
          <w:sz w:val="22"/>
          <w:szCs w:val="22"/>
          <w:lang w:eastAsia="en-US"/>
        </w:rPr>
      </w:pPr>
      <w:r w:rsidRPr="00076FD7">
        <w:rPr>
          <w:rFonts w:ascii="Garamond" w:hAnsi="Garamond" w:cs="Arial"/>
          <w:kern w:val="2"/>
          <w:sz w:val="22"/>
          <w:szCs w:val="22"/>
          <w:lang w:eastAsia="en-US"/>
        </w:rPr>
        <w:t>DAFTAR PUSTAKA</w:t>
      </w:r>
    </w:p>
    <w:p w14:paraId="6C3FA211"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Abas, N. (2005). </w:t>
      </w:r>
      <w:r w:rsidRPr="003E74FF">
        <w:rPr>
          <w:rFonts w:ascii="Garamond" w:hAnsi="Garamond" w:cs="Times New Roman"/>
          <w:i/>
        </w:rPr>
        <w:t>Membongkar Jamaah Islamiyah</w:t>
      </w:r>
      <w:r w:rsidRPr="003E74FF">
        <w:rPr>
          <w:rFonts w:ascii="Garamond" w:hAnsi="Garamond" w:cs="Times New Roman"/>
        </w:rPr>
        <w:t>. Grafindo Khazanah Ilmu.</w:t>
      </w:r>
    </w:p>
    <w:p w14:paraId="60395525"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Adian, D. G. (2003). Mencegah Lahirnya Terorisme Negara Indonesia Pasca Bom Bali. </w:t>
      </w:r>
      <w:r w:rsidRPr="003E74FF">
        <w:rPr>
          <w:rFonts w:ascii="Garamond" w:hAnsi="Garamond" w:cs="Times New Roman"/>
          <w:i/>
        </w:rPr>
        <w:t>Analisis CSIS</w:t>
      </w:r>
      <w:r w:rsidRPr="003E74FF">
        <w:rPr>
          <w:rFonts w:ascii="Garamond" w:hAnsi="Garamond" w:cs="Times New Roman"/>
        </w:rPr>
        <w:t xml:space="preserve">, </w:t>
      </w:r>
      <w:r w:rsidRPr="003E74FF">
        <w:rPr>
          <w:rFonts w:ascii="Garamond" w:hAnsi="Garamond" w:cs="Times New Roman"/>
          <w:i/>
        </w:rPr>
        <w:t>32</w:t>
      </w:r>
      <w:r w:rsidRPr="003E74FF">
        <w:rPr>
          <w:rFonts w:ascii="Garamond" w:hAnsi="Garamond" w:cs="Times New Roman"/>
        </w:rPr>
        <w:t>(1).</w:t>
      </w:r>
    </w:p>
    <w:p w14:paraId="128446BC"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Adisaputra, A. (2006). </w:t>
      </w:r>
      <w:r w:rsidRPr="003E74FF">
        <w:rPr>
          <w:rFonts w:ascii="Garamond" w:hAnsi="Garamond" w:cs="Times New Roman"/>
          <w:i/>
        </w:rPr>
        <w:t>Imam Samudra Berjihad</w:t>
      </w:r>
      <w:r w:rsidRPr="003E74FF">
        <w:rPr>
          <w:rFonts w:ascii="Garamond" w:hAnsi="Garamond" w:cs="Times New Roman"/>
        </w:rPr>
        <w:t>. Grafika Indah.</w:t>
      </w:r>
    </w:p>
    <w:p w14:paraId="779A490D"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Al-Jābiri, M. ‘Abid. (2004). </w:t>
      </w:r>
      <w:r w:rsidRPr="003E74FF">
        <w:rPr>
          <w:rFonts w:ascii="Garamond" w:hAnsi="Garamond" w:cs="Times New Roman"/>
          <w:i/>
        </w:rPr>
        <w:t>Qad{ayat al-Fikr al-‘Arabi&gt;: al-Mas’alah al-Thaqāfiyyah</w:t>
      </w:r>
      <w:r w:rsidRPr="003E74FF">
        <w:rPr>
          <w:rFonts w:ascii="Garamond" w:hAnsi="Garamond" w:cs="Times New Roman"/>
        </w:rPr>
        <w:t>. Markaz Dirasah al-Wahidah al-‘Arābiyyah.</w:t>
      </w:r>
    </w:p>
    <w:p w14:paraId="74F15EBF"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Al-Zastrouw Ng. (2006). </w:t>
      </w:r>
      <w:r w:rsidRPr="003E74FF">
        <w:rPr>
          <w:rFonts w:ascii="Garamond" w:hAnsi="Garamond" w:cs="Times New Roman"/>
          <w:i/>
        </w:rPr>
        <w:t>Gerakan Islam Simbolik: Politik Kepentingan FPI</w:t>
      </w:r>
      <w:r w:rsidRPr="003E74FF">
        <w:rPr>
          <w:rFonts w:ascii="Garamond" w:hAnsi="Garamond" w:cs="Times New Roman"/>
        </w:rPr>
        <w:t>. LKiS.</w:t>
      </w:r>
    </w:p>
    <w:p w14:paraId="6ACCBC4C"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Alesina, A., Özler, S., Roubini, N., &amp; Swagel, P. (1996). Political Instability and Economic Growth. </w:t>
      </w:r>
      <w:r w:rsidRPr="003E74FF">
        <w:rPr>
          <w:rFonts w:ascii="Garamond" w:hAnsi="Garamond" w:cs="Times New Roman"/>
          <w:i/>
        </w:rPr>
        <w:t>Journal of Economic Growth</w:t>
      </w:r>
      <w:r w:rsidRPr="003E74FF">
        <w:rPr>
          <w:rFonts w:ascii="Garamond" w:hAnsi="Garamond" w:cs="Times New Roman"/>
        </w:rPr>
        <w:t xml:space="preserve">, </w:t>
      </w:r>
      <w:r w:rsidRPr="003E74FF">
        <w:rPr>
          <w:rFonts w:ascii="Garamond" w:hAnsi="Garamond" w:cs="Times New Roman"/>
          <w:i/>
        </w:rPr>
        <w:t>1</w:t>
      </w:r>
      <w:r w:rsidRPr="003E74FF">
        <w:rPr>
          <w:rFonts w:ascii="Garamond" w:hAnsi="Garamond" w:cs="Times New Roman"/>
        </w:rPr>
        <w:t>(2), 189–211.</w:t>
      </w:r>
    </w:p>
    <w:p w14:paraId="4B6093A3"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Ali, A. S. (2014). </w:t>
      </w:r>
      <w:r w:rsidRPr="003E74FF">
        <w:rPr>
          <w:rFonts w:ascii="Garamond" w:hAnsi="Garamond" w:cs="Times New Roman"/>
          <w:i/>
        </w:rPr>
        <w:t>Al-Qaeda: Tinjauan Sosial Politik, Ideologi, dan Sepak Terjangnya</w:t>
      </w:r>
      <w:r w:rsidRPr="003E74FF">
        <w:rPr>
          <w:rFonts w:ascii="Garamond" w:hAnsi="Garamond" w:cs="Times New Roman"/>
        </w:rPr>
        <w:t>. LP3ES.</w:t>
      </w:r>
    </w:p>
    <w:p w14:paraId="530CC0EF"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Arubusman, M. (2006). </w:t>
      </w:r>
      <w:r w:rsidRPr="003E74FF">
        <w:rPr>
          <w:rFonts w:ascii="Garamond" w:hAnsi="Garamond" w:cs="Times New Roman"/>
          <w:i/>
        </w:rPr>
        <w:t>Terorisme di Tengah Arus Global Demokrasi</w:t>
      </w:r>
      <w:r w:rsidRPr="003E74FF">
        <w:rPr>
          <w:rFonts w:ascii="Garamond" w:hAnsi="Garamond" w:cs="Times New Roman"/>
        </w:rPr>
        <w:t>. SPECTRUM.</w:t>
      </w:r>
    </w:p>
    <w:p w14:paraId="2B52802B"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As-Sibai, H. (2005). </w:t>
      </w:r>
      <w:r w:rsidRPr="003E74FF">
        <w:rPr>
          <w:rFonts w:ascii="Garamond" w:hAnsi="Garamond" w:cs="Times New Roman"/>
          <w:i/>
        </w:rPr>
        <w:t>Balada Jamaah Jihad: Melacak Kiprah Dr. Aiman Az-Zawahiri</w:t>
      </w:r>
      <w:r w:rsidRPr="003E74FF">
        <w:rPr>
          <w:rFonts w:ascii="Garamond" w:hAnsi="Garamond" w:cs="Times New Roman"/>
        </w:rPr>
        <w:t>. Jazera.</w:t>
      </w:r>
    </w:p>
    <w:p w14:paraId="170BC851"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Ayubi, N. (1991). </w:t>
      </w:r>
      <w:r w:rsidRPr="003E74FF">
        <w:rPr>
          <w:rFonts w:ascii="Garamond" w:hAnsi="Garamond" w:cs="Times New Roman"/>
          <w:i/>
        </w:rPr>
        <w:t>Political Islam: Religion and Politics in the Arab World</w:t>
      </w:r>
      <w:r w:rsidRPr="003E74FF">
        <w:rPr>
          <w:rFonts w:ascii="Garamond" w:hAnsi="Garamond" w:cs="Times New Roman"/>
        </w:rPr>
        <w:t>. Routledge.</w:t>
      </w:r>
    </w:p>
    <w:p w14:paraId="3A1084F9"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Azra, A. (1996). </w:t>
      </w:r>
      <w:r w:rsidRPr="003E74FF">
        <w:rPr>
          <w:rFonts w:ascii="Garamond" w:hAnsi="Garamond" w:cs="Times New Roman"/>
          <w:i/>
        </w:rPr>
        <w:t>Pergolakan Politik Islam: Dari Fundamentalisme, Modernisme hingga Post-Modernisme</w:t>
      </w:r>
      <w:r w:rsidRPr="003E74FF">
        <w:rPr>
          <w:rFonts w:ascii="Garamond" w:hAnsi="Garamond" w:cs="Times New Roman"/>
        </w:rPr>
        <w:t>. Paramadina.</w:t>
      </w:r>
    </w:p>
    <w:p w14:paraId="26CA0B1E"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Azzam, A. (2002). </w:t>
      </w:r>
      <w:r w:rsidRPr="003E74FF">
        <w:rPr>
          <w:rFonts w:ascii="Garamond" w:hAnsi="Garamond" w:cs="Times New Roman"/>
          <w:i/>
        </w:rPr>
        <w:t>Runtuhnya Khilafah dan Upaya Menegakkannya</w:t>
      </w:r>
      <w:r w:rsidRPr="003E74FF">
        <w:rPr>
          <w:rFonts w:ascii="Garamond" w:hAnsi="Garamond" w:cs="Times New Roman"/>
        </w:rPr>
        <w:t>. Pustaka Al-Haq.</w:t>
      </w:r>
    </w:p>
    <w:p w14:paraId="30193C64"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Blanchard, C. M. (2007). </w:t>
      </w:r>
      <w:r w:rsidRPr="003E74FF">
        <w:rPr>
          <w:rFonts w:ascii="Garamond" w:hAnsi="Garamond" w:cs="Times New Roman"/>
          <w:i/>
        </w:rPr>
        <w:t>‘Al-Qaeda: Statements and Evolving Ideology</w:t>
      </w:r>
      <w:r w:rsidRPr="003E74FF">
        <w:rPr>
          <w:rFonts w:ascii="Garamond" w:hAnsi="Garamond" w:cs="Times New Roman"/>
        </w:rPr>
        <w:t>.</w:t>
      </w:r>
    </w:p>
    <w:p w14:paraId="532E8E89"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Būtī, M. S. R. A.-. (1993). </w:t>
      </w:r>
      <w:r w:rsidRPr="003E74FF">
        <w:rPr>
          <w:rFonts w:ascii="Garamond" w:hAnsi="Garamond" w:cs="Times New Roman"/>
          <w:i/>
        </w:rPr>
        <w:t>Al-Jihād fi al-Islām Kaifa Nafhamuhu? Wa Kaifa Numārisuhu?</w:t>
      </w:r>
      <w:r w:rsidRPr="003E74FF">
        <w:rPr>
          <w:rFonts w:ascii="Garamond" w:hAnsi="Garamond" w:cs="Times New Roman"/>
        </w:rPr>
        <w:t xml:space="preserve"> Dār al-Fikr al-Ma’āsir.</w:t>
      </w:r>
    </w:p>
    <w:p w14:paraId="3C1EFF2D"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Chen, H., Jialun, Q., Reid, E., Zhou, Y., &amp; Marc Sageman. (2008). Case </w:t>
      </w:r>
      <w:r w:rsidRPr="003E74FF">
        <w:rPr>
          <w:rFonts w:ascii="Garamond" w:hAnsi="Garamond" w:cs="Times New Roman"/>
        </w:rPr>
        <w:lastRenderedPageBreak/>
        <w:t xml:space="preserve">Study of Jihad on the Web: A Web Mining Approach. In C. H., R. E., S. J., S. A., &amp; G. B. (Ed.), </w:t>
      </w:r>
      <w:r w:rsidRPr="003E74FF">
        <w:rPr>
          <w:rFonts w:ascii="Garamond" w:hAnsi="Garamond" w:cs="Times New Roman"/>
          <w:i/>
        </w:rPr>
        <w:t>Terrorism Informatics: Knowledge Management and Data Mining for Homeland Security</w:t>
      </w:r>
      <w:r w:rsidRPr="003E74FF">
        <w:rPr>
          <w:rFonts w:ascii="Garamond" w:hAnsi="Garamond" w:cs="Times New Roman"/>
        </w:rPr>
        <w:t xml:space="preserve"> (hal. 221–235). Springer. https://doi.org/https://doi.org/10.1007/978-0-387-71613-8_11</w:t>
      </w:r>
    </w:p>
    <w:p w14:paraId="0C304049"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Crenshaw, M. (1981). The Causes of Terrorism. </w:t>
      </w:r>
      <w:r w:rsidRPr="003E74FF">
        <w:rPr>
          <w:rFonts w:ascii="Garamond" w:hAnsi="Garamond" w:cs="Times New Roman"/>
          <w:i/>
        </w:rPr>
        <w:t>Comparative Politics</w:t>
      </w:r>
      <w:r w:rsidRPr="003E74FF">
        <w:rPr>
          <w:rFonts w:ascii="Garamond" w:hAnsi="Garamond" w:cs="Times New Roman"/>
        </w:rPr>
        <w:t xml:space="preserve">, </w:t>
      </w:r>
      <w:r w:rsidRPr="003E74FF">
        <w:rPr>
          <w:rFonts w:ascii="Garamond" w:hAnsi="Garamond" w:cs="Times New Roman"/>
          <w:i/>
        </w:rPr>
        <w:t>13</w:t>
      </w:r>
      <w:r w:rsidRPr="003E74FF">
        <w:rPr>
          <w:rFonts w:ascii="Garamond" w:hAnsi="Garamond" w:cs="Times New Roman"/>
        </w:rPr>
        <w:t>(4), 379–399. https://doi.org/https://doi.org/10.2307/421717</w:t>
      </w:r>
    </w:p>
    <w:p w14:paraId="321EE951"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Desyana, C. (2012). </w:t>
      </w:r>
      <w:r w:rsidRPr="003E74FF">
        <w:rPr>
          <w:rFonts w:ascii="Garamond" w:hAnsi="Garamond" w:cs="Times New Roman"/>
          <w:i/>
        </w:rPr>
        <w:t>Alasan Umar Patek Terlambat Minta Maaf</w:t>
      </w:r>
      <w:r w:rsidRPr="003E74FF">
        <w:rPr>
          <w:rFonts w:ascii="Garamond" w:hAnsi="Garamond" w:cs="Times New Roman"/>
        </w:rPr>
        <w:t>. Tempo.co. http://nasional.tempo.co/read/news/2012/06/26/063412908/Alasan-Umar-Patek-Terlambat-Minta-Maaf</w:t>
      </w:r>
    </w:p>
    <w:p w14:paraId="66E99620"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Dimas. (2011). </w:t>
      </w:r>
      <w:r w:rsidRPr="003E74FF">
        <w:rPr>
          <w:rFonts w:ascii="Garamond" w:hAnsi="Garamond" w:cs="Times New Roman"/>
          <w:i/>
        </w:rPr>
        <w:t>Ansyaad Mbai: Dari Penjara, Mereka Bisa Kendalikan Aksi Teror</w:t>
      </w:r>
      <w:r w:rsidRPr="003E74FF">
        <w:rPr>
          <w:rFonts w:ascii="Garamond" w:hAnsi="Garamond" w:cs="Times New Roman"/>
        </w:rPr>
        <w:t>. Tempo.co. https://nasional.tempo.co/read/321584/ansyaad-mbai-dari-penjara-mereka-bisa-kendalikan-aksi-teror/full&amp;view=ok</w:t>
      </w:r>
    </w:p>
    <w:p w14:paraId="2A313154"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Djelantik, S. (2010). </w:t>
      </w:r>
      <w:r w:rsidRPr="003E74FF">
        <w:rPr>
          <w:rFonts w:ascii="Garamond" w:hAnsi="Garamond" w:cs="Times New Roman"/>
          <w:i/>
        </w:rPr>
        <w:t>Terorisme: Tinjauan Psikoanalisis, Peran Media, Kemiskinan, dan Keamanan Nasional</w:t>
      </w:r>
      <w:r w:rsidRPr="003E74FF">
        <w:rPr>
          <w:rFonts w:ascii="Garamond" w:hAnsi="Garamond" w:cs="Times New Roman"/>
        </w:rPr>
        <w:t>. Yayasan Pustaka Obor Indonesia.</w:t>
      </w:r>
    </w:p>
    <w:p w14:paraId="3C3E25FA"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Engeland, A. Van, &amp; Rudolph, R. M. (1988). </w:t>
      </w:r>
      <w:r w:rsidRPr="003E74FF">
        <w:rPr>
          <w:rFonts w:ascii="Garamond" w:hAnsi="Garamond" w:cs="Times New Roman"/>
          <w:i/>
        </w:rPr>
        <w:t>From Terrorism to Politics (Ethics and Global Politics)</w:t>
      </w:r>
      <w:r w:rsidRPr="003E74FF">
        <w:rPr>
          <w:rFonts w:ascii="Garamond" w:hAnsi="Garamond" w:cs="Times New Roman"/>
        </w:rPr>
        <w:t>. Ashgate Publishing Company.</w:t>
      </w:r>
    </w:p>
    <w:p w14:paraId="3743C615"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Esack, F. (1997). </w:t>
      </w:r>
      <w:r w:rsidRPr="003E74FF">
        <w:rPr>
          <w:rFonts w:ascii="Garamond" w:hAnsi="Garamond" w:cs="Times New Roman"/>
          <w:i/>
        </w:rPr>
        <w:t>Qur’an Liberation and Pluralism: An Islamic Perspective of Interreligious Solidarity Against Oppression</w:t>
      </w:r>
      <w:r w:rsidRPr="003E74FF">
        <w:rPr>
          <w:rFonts w:ascii="Garamond" w:hAnsi="Garamond" w:cs="Times New Roman"/>
        </w:rPr>
        <w:t>. One World Oxford.</w:t>
      </w:r>
    </w:p>
    <w:p w14:paraId="3E12DA70"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Fadl, K. M. A. El. (2005). </w:t>
      </w:r>
      <w:r w:rsidRPr="003E74FF">
        <w:rPr>
          <w:rFonts w:ascii="Garamond" w:hAnsi="Garamond" w:cs="Times New Roman"/>
          <w:i/>
        </w:rPr>
        <w:t>Selamatkan Islam dari Muslim Puritan</w:t>
      </w:r>
      <w:r w:rsidRPr="003E74FF">
        <w:rPr>
          <w:rFonts w:ascii="Garamond" w:hAnsi="Garamond" w:cs="Times New Roman"/>
        </w:rPr>
        <w:t>. Serambi.</w:t>
      </w:r>
    </w:p>
    <w:p w14:paraId="7452C71D"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Fata, A. K. (2014). Menguak Islam Eksklusif yang Toleran. </w:t>
      </w:r>
      <w:r w:rsidRPr="003E74FF">
        <w:rPr>
          <w:rFonts w:ascii="Garamond" w:hAnsi="Garamond" w:cs="Times New Roman"/>
          <w:i/>
        </w:rPr>
        <w:t>ISLAMICA: Jurnal Studi Keislaman</w:t>
      </w:r>
      <w:r w:rsidRPr="003E74FF">
        <w:rPr>
          <w:rFonts w:ascii="Garamond" w:hAnsi="Garamond" w:cs="Times New Roman"/>
        </w:rPr>
        <w:t xml:space="preserve">, </w:t>
      </w:r>
      <w:r w:rsidRPr="003E74FF">
        <w:rPr>
          <w:rFonts w:ascii="Garamond" w:hAnsi="Garamond" w:cs="Times New Roman"/>
          <w:i/>
        </w:rPr>
        <w:t>6</w:t>
      </w:r>
      <w:r w:rsidRPr="003E74FF">
        <w:rPr>
          <w:rFonts w:ascii="Garamond" w:hAnsi="Garamond" w:cs="Times New Roman"/>
        </w:rPr>
        <w:t>(1), 14. https://doi.org/10.15642/islamica.2011.6.1.14-24</w:t>
      </w:r>
    </w:p>
    <w:p w14:paraId="26AD87DE"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Fata, A. K. (2018). Diskursus Dan Kritik Terhadap Teologi Pluralisme Agama Di Indonesia. </w:t>
      </w:r>
      <w:r w:rsidRPr="003E74FF">
        <w:rPr>
          <w:rFonts w:ascii="Garamond" w:hAnsi="Garamond" w:cs="Times New Roman"/>
          <w:i/>
        </w:rPr>
        <w:t>MIQOT: Jurnal Ilmu-ilmu Keislaman</w:t>
      </w:r>
      <w:r w:rsidRPr="003E74FF">
        <w:rPr>
          <w:rFonts w:ascii="Garamond" w:hAnsi="Garamond" w:cs="Times New Roman"/>
        </w:rPr>
        <w:t xml:space="preserve">, </w:t>
      </w:r>
      <w:r w:rsidRPr="003E74FF">
        <w:rPr>
          <w:rFonts w:ascii="Garamond" w:hAnsi="Garamond" w:cs="Times New Roman"/>
          <w:i/>
        </w:rPr>
        <w:t>42</w:t>
      </w:r>
      <w:r w:rsidRPr="003E74FF">
        <w:rPr>
          <w:rFonts w:ascii="Garamond" w:hAnsi="Garamond" w:cs="Times New Roman"/>
        </w:rPr>
        <w:t>(1), 105. https://doi.org/10.30821/miqot.v42i1.393</w:t>
      </w:r>
    </w:p>
    <w:p w14:paraId="6A420B84"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Fauzan, &amp; Fata, A. K. (2019). Deconstructing the Concept of Jihad By the Radical Islamic Movements. </w:t>
      </w:r>
      <w:r w:rsidRPr="003E74FF">
        <w:rPr>
          <w:rFonts w:ascii="Garamond" w:hAnsi="Garamond" w:cs="Times New Roman"/>
          <w:i/>
        </w:rPr>
        <w:t>1st Raden Intan International Conference on Muslim Societies and Social Sciences (RIICMuSSS 2019)</w:t>
      </w:r>
      <w:r w:rsidRPr="003E74FF">
        <w:rPr>
          <w:rFonts w:ascii="Garamond" w:hAnsi="Garamond" w:cs="Times New Roman"/>
        </w:rPr>
        <w:t>, 253–257. https://doi.org/https://doi.org/10.2991/assehr.k.201113.048</w:t>
      </w:r>
    </w:p>
    <w:p w14:paraId="02C0A5D1"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Golose, P. R. (2009). </w:t>
      </w:r>
      <w:r w:rsidRPr="003E74FF">
        <w:rPr>
          <w:rFonts w:ascii="Garamond" w:hAnsi="Garamond" w:cs="Times New Roman"/>
          <w:i/>
        </w:rPr>
        <w:t>Deradikalisasi Terorisme: Humanis, Soul Approach, dan Menyentuh Akar Rumput</w:t>
      </w:r>
      <w:r w:rsidRPr="003E74FF">
        <w:rPr>
          <w:rFonts w:ascii="Garamond" w:hAnsi="Garamond" w:cs="Times New Roman"/>
        </w:rPr>
        <w:t>. Yayasan Pengembangan Kajian Ilmu Kepolisian.</w:t>
      </w:r>
    </w:p>
    <w:p w14:paraId="33A5F4C1"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Group, I. C. (2012). </w:t>
      </w:r>
      <w:r w:rsidRPr="003E74FF">
        <w:rPr>
          <w:rFonts w:ascii="Garamond" w:hAnsi="Garamond" w:cs="Times New Roman"/>
          <w:i/>
        </w:rPr>
        <w:t>Bagaimana Kelompok Ekstrimis Membentuk Kelompok Baru</w:t>
      </w:r>
      <w:r w:rsidRPr="003E74FF">
        <w:rPr>
          <w:rFonts w:ascii="Garamond" w:hAnsi="Garamond" w:cs="Times New Roman"/>
        </w:rPr>
        <w:t>. International Crisis Group.</w:t>
      </w:r>
    </w:p>
    <w:p w14:paraId="00AB61F1"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Gunawan, B. (2006). </w:t>
      </w:r>
      <w:r w:rsidRPr="003E74FF">
        <w:rPr>
          <w:rFonts w:ascii="Garamond" w:hAnsi="Garamond" w:cs="Times New Roman"/>
          <w:i/>
        </w:rPr>
        <w:t>Terorisme: Mitos dan Konspirasi</w:t>
      </w:r>
      <w:r w:rsidRPr="003E74FF">
        <w:rPr>
          <w:rFonts w:ascii="Garamond" w:hAnsi="Garamond" w:cs="Times New Roman"/>
        </w:rPr>
        <w:t>. Forum Media Utama.</w:t>
      </w:r>
    </w:p>
    <w:p w14:paraId="49D90C27"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Hafni, A. M. al-. (1999). </w:t>
      </w:r>
      <w:r w:rsidRPr="003E74FF">
        <w:rPr>
          <w:rFonts w:ascii="Garamond" w:hAnsi="Garamond" w:cs="Times New Roman"/>
          <w:i/>
        </w:rPr>
        <w:t xml:space="preserve">Ensiklopedia Golongan, Kelompok, Aliran, Mazhab, </w:t>
      </w:r>
      <w:r w:rsidRPr="003E74FF">
        <w:rPr>
          <w:rFonts w:ascii="Garamond" w:hAnsi="Garamond" w:cs="Times New Roman"/>
          <w:i/>
        </w:rPr>
        <w:lastRenderedPageBreak/>
        <w:t>Partai dan Gerakan Islam</w:t>
      </w:r>
      <w:r w:rsidRPr="003E74FF">
        <w:rPr>
          <w:rFonts w:ascii="Garamond" w:hAnsi="Garamond" w:cs="Times New Roman"/>
        </w:rPr>
        <w:t>. Grafindo.</w:t>
      </w:r>
    </w:p>
    <w:p w14:paraId="26B41773"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Hasan, M. H. (2007). </w:t>
      </w:r>
      <w:r w:rsidRPr="003E74FF">
        <w:rPr>
          <w:rFonts w:ascii="Garamond" w:hAnsi="Garamond" w:cs="Times New Roman"/>
          <w:i/>
        </w:rPr>
        <w:t>Teroris Membajak Islam: Meluruskan Jihad Sesat Imam Samudra dan Kelompok Islam Radikal</w:t>
      </w:r>
      <w:r w:rsidRPr="003E74FF">
        <w:rPr>
          <w:rFonts w:ascii="Garamond" w:hAnsi="Garamond" w:cs="Times New Roman"/>
        </w:rPr>
        <w:t>. Grafindo Khazanah Ilmu.</w:t>
      </w:r>
    </w:p>
    <w:p w14:paraId="65F46F91"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Hendropriyono. (2009). </w:t>
      </w:r>
      <w:r w:rsidRPr="003E74FF">
        <w:rPr>
          <w:rFonts w:ascii="Garamond" w:hAnsi="Garamond" w:cs="Times New Roman"/>
          <w:i/>
        </w:rPr>
        <w:t>Terorisme: Fundamentalis Kristen, Yahudi, Islam</w:t>
      </w:r>
      <w:r w:rsidRPr="003E74FF">
        <w:rPr>
          <w:rFonts w:ascii="Garamond" w:hAnsi="Garamond" w:cs="Times New Roman"/>
        </w:rPr>
        <w:t>. Kompas.</w:t>
      </w:r>
    </w:p>
    <w:p w14:paraId="6D68F0E1"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Hitti, P. K. (1974). </w:t>
      </w:r>
      <w:r w:rsidRPr="003E74FF">
        <w:rPr>
          <w:rFonts w:ascii="Garamond" w:hAnsi="Garamond" w:cs="Times New Roman"/>
          <w:i/>
        </w:rPr>
        <w:t>History of The Arabs</w:t>
      </w:r>
      <w:r w:rsidRPr="003E74FF">
        <w:rPr>
          <w:rFonts w:ascii="Garamond" w:hAnsi="Garamond" w:cs="Times New Roman"/>
        </w:rPr>
        <w:t>. The Macmillan Press.</w:t>
      </w:r>
    </w:p>
    <w:p w14:paraId="6DEDD475"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Hunter, S. T. (2003). </w:t>
      </w:r>
      <w:r w:rsidRPr="003E74FF">
        <w:rPr>
          <w:rFonts w:ascii="Garamond" w:hAnsi="Garamond" w:cs="Times New Roman"/>
          <w:i/>
        </w:rPr>
        <w:t>Politik Kebangkitan Islam: Keragaman dan Kesatuan</w:t>
      </w:r>
      <w:r w:rsidRPr="003E74FF">
        <w:rPr>
          <w:rFonts w:ascii="Garamond" w:hAnsi="Garamond" w:cs="Times New Roman"/>
        </w:rPr>
        <w:t>. Tiara Wacana.</w:t>
      </w:r>
    </w:p>
    <w:p w14:paraId="57FC7BEC"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Iin. (2012). </w:t>
      </w:r>
      <w:r w:rsidRPr="003E74FF">
        <w:rPr>
          <w:rFonts w:ascii="Garamond" w:hAnsi="Garamond" w:cs="Times New Roman"/>
          <w:i/>
        </w:rPr>
        <w:t>Otak pelaku bom buku divonis 18 tahun</w:t>
      </w:r>
      <w:r w:rsidRPr="003E74FF">
        <w:rPr>
          <w:rFonts w:ascii="Garamond" w:hAnsi="Garamond" w:cs="Times New Roman"/>
        </w:rPr>
        <w:t>. Sindonews. https://nasional.sindonews.com/berita/587766/13/otak-pelaku-bom-buku-divonis-18-tahun</w:t>
      </w:r>
    </w:p>
    <w:p w14:paraId="0C2AEA79"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Imron, A. (2007). </w:t>
      </w:r>
      <w:r w:rsidRPr="003E74FF">
        <w:rPr>
          <w:rFonts w:ascii="Garamond" w:hAnsi="Garamond" w:cs="Times New Roman"/>
          <w:i/>
        </w:rPr>
        <w:t>Ali Imron Sang Pengebom</w:t>
      </w:r>
      <w:r w:rsidRPr="003E74FF">
        <w:rPr>
          <w:rFonts w:ascii="Garamond" w:hAnsi="Garamond" w:cs="Times New Roman"/>
        </w:rPr>
        <w:t>. Republika.</w:t>
      </w:r>
    </w:p>
    <w:p w14:paraId="6571E059"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Irfani, A. (2014). Ahistorisitas Penafsiran dan Bias Ideologi (Kajian Terhadap Konsep Kedaulatan Tuhan Menurut Sayyid Qutb). </w:t>
      </w:r>
      <w:r w:rsidRPr="003E74FF">
        <w:rPr>
          <w:rFonts w:ascii="Garamond" w:hAnsi="Garamond" w:cs="Times New Roman"/>
          <w:i/>
        </w:rPr>
        <w:t>Journal of Qur’an and Hadith Studies</w:t>
      </w:r>
      <w:r w:rsidRPr="003E74FF">
        <w:rPr>
          <w:rFonts w:ascii="Garamond" w:hAnsi="Garamond" w:cs="Times New Roman"/>
        </w:rPr>
        <w:t xml:space="preserve">, </w:t>
      </w:r>
      <w:r w:rsidRPr="003E74FF">
        <w:rPr>
          <w:rFonts w:ascii="Garamond" w:hAnsi="Garamond" w:cs="Times New Roman"/>
          <w:i/>
        </w:rPr>
        <w:t>3</w:t>
      </w:r>
      <w:r w:rsidRPr="003E74FF">
        <w:rPr>
          <w:rFonts w:ascii="Garamond" w:hAnsi="Garamond" w:cs="Times New Roman"/>
        </w:rPr>
        <w:t>(2), 173–201. https://doi.org/https://doi.org/10.15408/quhas.v3i2.1155</w:t>
      </w:r>
    </w:p>
    <w:p w14:paraId="5CB89F9B"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Jurgensmayer, M. (2001). </w:t>
      </w:r>
      <w:r w:rsidRPr="003E74FF">
        <w:rPr>
          <w:rFonts w:ascii="Garamond" w:hAnsi="Garamond" w:cs="Times New Roman"/>
          <w:i/>
        </w:rPr>
        <w:t>Terror in the Mind of God: The Global Rise of Religious Violence</w:t>
      </w:r>
      <w:r w:rsidRPr="003E74FF">
        <w:rPr>
          <w:rFonts w:ascii="Garamond" w:hAnsi="Garamond" w:cs="Times New Roman"/>
        </w:rPr>
        <w:t>. University of California Press.</w:t>
      </w:r>
    </w:p>
    <w:p w14:paraId="31CFDF04"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Lenczowski, G. (1993). </w:t>
      </w:r>
      <w:r w:rsidRPr="003E74FF">
        <w:rPr>
          <w:rFonts w:ascii="Garamond" w:hAnsi="Garamond" w:cs="Times New Roman"/>
          <w:i/>
        </w:rPr>
        <w:t>Timur Tengah di Kancah Dunia</w:t>
      </w:r>
      <w:r w:rsidRPr="003E74FF">
        <w:rPr>
          <w:rFonts w:ascii="Garamond" w:hAnsi="Garamond" w:cs="Times New Roman"/>
        </w:rPr>
        <w:t>. Sinar Baru Algensindo.</w:t>
      </w:r>
    </w:p>
    <w:p w14:paraId="0EAB70E7"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Lutz, J. M., &amp; Lutz, B. J. (2004). </w:t>
      </w:r>
      <w:r w:rsidRPr="003E74FF">
        <w:rPr>
          <w:rFonts w:ascii="Garamond" w:hAnsi="Garamond" w:cs="Times New Roman"/>
          <w:i/>
        </w:rPr>
        <w:t>Global Terrorism</w:t>
      </w:r>
      <w:r w:rsidRPr="003E74FF">
        <w:rPr>
          <w:rFonts w:ascii="Garamond" w:hAnsi="Garamond" w:cs="Times New Roman"/>
        </w:rPr>
        <w:t>. Routledge Taylor &amp; Francis Group.</w:t>
      </w:r>
    </w:p>
    <w:p w14:paraId="6216F63A"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Maftuh Abegebriel, A., Yani Aveiro, A., &amp; Research, T. S. (2004). </w:t>
      </w:r>
      <w:r w:rsidRPr="003E74FF">
        <w:rPr>
          <w:rFonts w:ascii="Garamond" w:hAnsi="Garamond" w:cs="Times New Roman"/>
          <w:i/>
        </w:rPr>
        <w:t>Negara Tuhan: The Thematic Encyclopedia</w:t>
      </w:r>
      <w:r w:rsidRPr="003E74FF">
        <w:rPr>
          <w:rFonts w:ascii="Garamond" w:hAnsi="Garamond" w:cs="Times New Roman"/>
        </w:rPr>
        <w:t>. SR-Ins Publishing.</w:t>
      </w:r>
    </w:p>
    <w:p w14:paraId="25F104A2"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Mbai, A. (2014). </w:t>
      </w:r>
      <w:r w:rsidRPr="003E74FF">
        <w:rPr>
          <w:rFonts w:ascii="Garamond" w:hAnsi="Garamond" w:cs="Times New Roman"/>
          <w:i/>
        </w:rPr>
        <w:t>Dinamika Baru Jejaring Teror di Indonesia</w:t>
      </w:r>
      <w:r w:rsidRPr="003E74FF">
        <w:rPr>
          <w:rFonts w:ascii="Garamond" w:hAnsi="Garamond" w:cs="Times New Roman"/>
        </w:rPr>
        <w:t>. AS Production Indonesia.</w:t>
      </w:r>
    </w:p>
    <w:p w14:paraId="2A4B9478"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Mukhlis. (2012). </w:t>
      </w:r>
      <w:r w:rsidRPr="003E74FF">
        <w:rPr>
          <w:rFonts w:ascii="Garamond" w:hAnsi="Garamond" w:cs="Times New Roman"/>
          <w:i/>
        </w:rPr>
        <w:t>Perspektif Ideologi Radikalisme dan Gerakan Daulah Islamiyah” (Seminar Nasional “Meretas Gerakan Radikalisme dan Konsolidasi Gagasan Penegakan Daulah Islamiyah di Wilayah NKRI: Membangun Strategi Penanggulangannya di NTB</w:t>
      </w:r>
      <w:r w:rsidRPr="003E74FF">
        <w:rPr>
          <w:rFonts w:ascii="Garamond" w:hAnsi="Garamond" w:cs="Times New Roman"/>
        </w:rPr>
        <w:t>.</w:t>
      </w:r>
    </w:p>
    <w:p w14:paraId="308B7C5D"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Nasution, H. (1991). </w:t>
      </w:r>
      <w:r w:rsidRPr="003E74FF">
        <w:rPr>
          <w:rFonts w:ascii="Garamond" w:hAnsi="Garamond" w:cs="Times New Roman"/>
          <w:i/>
        </w:rPr>
        <w:t>Teologi Islam, Sejarah Analisa dan Perbandingan</w:t>
      </w:r>
      <w:r w:rsidRPr="003E74FF">
        <w:rPr>
          <w:rFonts w:ascii="Garamond" w:hAnsi="Garamond" w:cs="Times New Roman"/>
        </w:rPr>
        <w:t>. UI Press.</w:t>
      </w:r>
    </w:p>
    <w:p w14:paraId="722EBB2C"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Noer, D. (1996). </w:t>
      </w:r>
      <w:r w:rsidRPr="003E74FF">
        <w:rPr>
          <w:rFonts w:ascii="Garamond" w:hAnsi="Garamond" w:cs="Times New Roman"/>
          <w:i/>
        </w:rPr>
        <w:t>Gerakan Modern Islam di Indonesia 1900-1942</w:t>
      </w:r>
      <w:r w:rsidRPr="003E74FF">
        <w:rPr>
          <w:rFonts w:ascii="Garamond" w:hAnsi="Garamond" w:cs="Times New Roman"/>
        </w:rPr>
        <w:t>. LP3ES.</w:t>
      </w:r>
    </w:p>
    <w:p w14:paraId="05CF7A74"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Nur Khoiri. (2009). </w:t>
      </w:r>
      <w:r w:rsidRPr="003E74FF">
        <w:rPr>
          <w:rFonts w:ascii="Garamond" w:hAnsi="Garamond" w:cs="Times New Roman"/>
          <w:i/>
        </w:rPr>
        <w:t>Noordin M. Top Dipastikan Tewas</w:t>
      </w:r>
      <w:r w:rsidRPr="003E74FF">
        <w:rPr>
          <w:rFonts w:ascii="Garamond" w:hAnsi="Garamond" w:cs="Times New Roman"/>
        </w:rPr>
        <w:t>. Tempo.co. http://nasional.tempo.co/read/news/2009/09/17/063198588/noor-din-m-top-dipasti kan-tewas</w:t>
      </w:r>
    </w:p>
    <w:p w14:paraId="0399642C"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Prawira. (2010). </w:t>
      </w:r>
      <w:r w:rsidRPr="003E74FF">
        <w:rPr>
          <w:rFonts w:ascii="Garamond" w:hAnsi="Garamond" w:cs="Times New Roman"/>
          <w:i/>
        </w:rPr>
        <w:t>Mengintip Struktur Jaringan Teroris Jamaah Islamiah</w:t>
      </w:r>
      <w:r w:rsidRPr="003E74FF">
        <w:rPr>
          <w:rFonts w:ascii="Garamond" w:hAnsi="Garamond" w:cs="Times New Roman"/>
        </w:rPr>
        <w:t xml:space="preserve">. Tribunnews.com. </w:t>
      </w:r>
      <w:r w:rsidRPr="003E74FF">
        <w:rPr>
          <w:rFonts w:ascii="Garamond" w:hAnsi="Garamond" w:cs="Times New Roman"/>
        </w:rPr>
        <w:lastRenderedPageBreak/>
        <w:t>https://www.tribunnews.com/nasional/2010/09/24/mengintip-struktur-jaringan-teroris-jamaah-islamiah</w:t>
      </w:r>
    </w:p>
    <w:p w14:paraId="2EA4B005"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Purwanto, W. H. (2004). </w:t>
      </w:r>
      <w:r w:rsidRPr="003E74FF">
        <w:rPr>
          <w:rFonts w:ascii="Garamond" w:hAnsi="Garamond" w:cs="Times New Roman"/>
          <w:i/>
        </w:rPr>
        <w:t>Terorisme Ancaman Tiada Akhir: Bahaya dan Strategi Pemberantasan di Indonesia</w:t>
      </w:r>
      <w:r w:rsidRPr="003E74FF">
        <w:rPr>
          <w:rFonts w:ascii="Garamond" w:hAnsi="Garamond" w:cs="Times New Roman"/>
        </w:rPr>
        <w:t>. Grafindo Khazanah Ilmu.</w:t>
      </w:r>
    </w:p>
    <w:p w14:paraId="7F0186F4"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Rahmat, M. I. (2005). </w:t>
      </w:r>
      <w:r w:rsidRPr="003E74FF">
        <w:rPr>
          <w:rFonts w:ascii="Garamond" w:hAnsi="Garamond" w:cs="Times New Roman"/>
          <w:i/>
        </w:rPr>
        <w:t>Arus Baru Islam Radikal: Transmisi Revivalisme Islam Timur Tengah ke Indonesia</w:t>
      </w:r>
      <w:r w:rsidRPr="003E74FF">
        <w:rPr>
          <w:rFonts w:ascii="Garamond" w:hAnsi="Garamond" w:cs="Times New Roman"/>
        </w:rPr>
        <w:t>. Erlangga.</w:t>
      </w:r>
    </w:p>
    <w:p w14:paraId="78A3485B"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Ramakrishna, K. (2005). Delegitimizing Global Jihadi Ideology in Southeast Asia. </w:t>
      </w:r>
      <w:r w:rsidRPr="003E74FF">
        <w:rPr>
          <w:rFonts w:ascii="Garamond" w:hAnsi="Garamond" w:cs="Times New Roman"/>
          <w:i/>
        </w:rPr>
        <w:t>Contemporary Southeast Asia</w:t>
      </w:r>
      <w:r w:rsidRPr="003E74FF">
        <w:rPr>
          <w:rFonts w:ascii="Garamond" w:hAnsi="Garamond" w:cs="Times New Roman"/>
        </w:rPr>
        <w:t xml:space="preserve">, </w:t>
      </w:r>
      <w:r w:rsidRPr="003E74FF">
        <w:rPr>
          <w:rFonts w:ascii="Garamond" w:hAnsi="Garamond" w:cs="Times New Roman"/>
          <w:i/>
        </w:rPr>
        <w:t>27</w:t>
      </w:r>
      <w:r w:rsidRPr="003E74FF">
        <w:rPr>
          <w:rFonts w:ascii="Garamond" w:hAnsi="Garamond" w:cs="Times New Roman"/>
        </w:rPr>
        <w:t>(3), 343–369. https://doi.org/10.1353/csa.2011.0068</w:t>
      </w:r>
    </w:p>
    <w:p w14:paraId="2B1BC5DE"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Ramelan, P. (2009). </w:t>
      </w:r>
      <w:r w:rsidRPr="003E74FF">
        <w:rPr>
          <w:rFonts w:ascii="Garamond" w:hAnsi="Garamond" w:cs="Times New Roman"/>
          <w:i/>
        </w:rPr>
        <w:t>Intelijen Bertawaf: Teroris Malaysia dalam Kupasan</w:t>
      </w:r>
      <w:r w:rsidRPr="003E74FF">
        <w:rPr>
          <w:rFonts w:ascii="Garamond" w:hAnsi="Garamond" w:cs="Times New Roman"/>
        </w:rPr>
        <w:t>. Kompas.</w:t>
      </w:r>
    </w:p>
    <w:p w14:paraId="6382A465"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Romli, M. G., &amp; Sjadzili, A. F. (2004). </w:t>
      </w:r>
      <w:r w:rsidRPr="003E74FF">
        <w:rPr>
          <w:rFonts w:ascii="Garamond" w:hAnsi="Garamond" w:cs="Times New Roman"/>
          <w:i/>
        </w:rPr>
        <w:t>Dari Jihad Menuju Ijtihad</w:t>
      </w:r>
      <w:r w:rsidRPr="003E74FF">
        <w:rPr>
          <w:rFonts w:ascii="Garamond" w:hAnsi="Garamond" w:cs="Times New Roman"/>
        </w:rPr>
        <w:t>. LSIP.</w:t>
      </w:r>
    </w:p>
    <w:p w14:paraId="25E9B339"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Ross, J. I. (2007). Deconstructing the Terrorism News Media Relationship. </w:t>
      </w:r>
      <w:r w:rsidRPr="003E74FF">
        <w:rPr>
          <w:rFonts w:ascii="Garamond" w:hAnsi="Garamond" w:cs="Times New Roman"/>
          <w:i/>
        </w:rPr>
        <w:t>Journal Crime, Media, Culture</w:t>
      </w:r>
      <w:r w:rsidRPr="003E74FF">
        <w:rPr>
          <w:rFonts w:ascii="Garamond" w:hAnsi="Garamond" w:cs="Times New Roman"/>
        </w:rPr>
        <w:t xml:space="preserve">, </w:t>
      </w:r>
      <w:r w:rsidRPr="003E74FF">
        <w:rPr>
          <w:rFonts w:ascii="Garamond" w:hAnsi="Garamond" w:cs="Times New Roman"/>
          <w:i/>
        </w:rPr>
        <w:t>3</w:t>
      </w:r>
      <w:r w:rsidRPr="003E74FF">
        <w:rPr>
          <w:rFonts w:ascii="Garamond" w:hAnsi="Garamond" w:cs="Times New Roman"/>
        </w:rPr>
        <w:t>(2), 215–225. https://doi.org/10.1177/1741659007078555</w:t>
      </w:r>
    </w:p>
    <w:p w14:paraId="118D6734"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Roy, O. (1990). </w:t>
      </w:r>
      <w:r w:rsidRPr="003E74FF">
        <w:rPr>
          <w:rFonts w:ascii="Garamond" w:hAnsi="Garamond" w:cs="Times New Roman"/>
          <w:i/>
        </w:rPr>
        <w:t>Islam and Resistance in Afghanistan</w:t>
      </w:r>
      <w:r w:rsidRPr="003E74FF">
        <w:rPr>
          <w:rFonts w:ascii="Garamond" w:hAnsi="Garamond" w:cs="Times New Roman"/>
        </w:rPr>
        <w:t>. Cambridge University Press.</w:t>
      </w:r>
    </w:p>
    <w:p w14:paraId="78BCF307"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Roy, O. (1996). </w:t>
      </w:r>
      <w:r w:rsidRPr="003E74FF">
        <w:rPr>
          <w:rFonts w:ascii="Garamond" w:hAnsi="Garamond" w:cs="Times New Roman"/>
          <w:i/>
        </w:rPr>
        <w:t>Gagalnya Islam Politik</w:t>
      </w:r>
      <w:r w:rsidRPr="003E74FF">
        <w:rPr>
          <w:rFonts w:ascii="Garamond" w:hAnsi="Garamond" w:cs="Times New Roman"/>
        </w:rPr>
        <w:t>. Serambi.</w:t>
      </w:r>
    </w:p>
    <w:p w14:paraId="03C45C24"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Sābiq, S. (1418). </w:t>
      </w:r>
      <w:r w:rsidRPr="003E74FF">
        <w:rPr>
          <w:rFonts w:ascii="Garamond" w:hAnsi="Garamond" w:cs="Times New Roman"/>
          <w:i/>
        </w:rPr>
        <w:t>Fiqh al-Sunnah, Jilid III</w:t>
      </w:r>
      <w:r w:rsidRPr="003E74FF">
        <w:rPr>
          <w:rFonts w:ascii="Garamond" w:hAnsi="Garamond" w:cs="Times New Roman"/>
        </w:rPr>
        <w:t>. Dār al-Fath li l’ām al-‘Arābī.</w:t>
      </w:r>
    </w:p>
    <w:p w14:paraId="1F0F89A7"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Samudera, I. (2004). </w:t>
      </w:r>
      <w:r w:rsidRPr="003E74FF">
        <w:rPr>
          <w:rFonts w:ascii="Garamond" w:hAnsi="Garamond" w:cs="Times New Roman"/>
          <w:i/>
        </w:rPr>
        <w:t>Aku Melawan Terorisme</w:t>
      </w:r>
      <w:r w:rsidRPr="003E74FF">
        <w:rPr>
          <w:rFonts w:ascii="Garamond" w:hAnsi="Garamond" w:cs="Times New Roman"/>
        </w:rPr>
        <w:t>. Al-Jazeera.</w:t>
      </w:r>
    </w:p>
    <w:p w14:paraId="32208477"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Shahzad, S. S. (2011). </w:t>
      </w:r>
      <w:r w:rsidRPr="003E74FF">
        <w:rPr>
          <w:rFonts w:ascii="Garamond" w:hAnsi="Garamond" w:cs="Times New Roman"/>
          <w:i/>
        </w:rPr>
        <w:t>Inside Al-Qaeda and the Taliban</w:t>
      </w:r>
      <w:r w:rsidRPr="003E74FF">
        <w:rPr>
          <w:rFonts w:ascii="Garamond" w:hAnsi="Garamond" w:cs="Times New Roman"/>
        </w:rPr>
        <w:t>. Pluto Press.</w:t>
      </w:r>
    </w:p>
    <w:p w14:paraId="248696EF"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Sunarko, D. H. (2006). </w:t>
      </w:r>
      <w:r w:rsidRPr="003E74FF">
        <w:rPr>
          <w:rFonts w:ascii="Garamond" w:hAnsi="Garamond" w:cs="Times New Roman"/>
          <w:i/>
        </w:rPr>
        <w:t>Ideologi Teroris Indonesia</w:t>
      </w:r>
      <w:r w:rsidRPr="003E74FF">
        <w:rPr>
          <w:rFonts w:ascii="Garamond" w:hAnsi="Garamond" w:cs="Times New Roman"/>
        </w:rPr>
        <w:t>. Pensil.</w:t>
      </w:r>
    </w:p>
    <w:p w14:paraId="5A591029"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Swanström, N., &amp; Björnehed, E. (2004). Conflict Resolution of Terrorists Conflicts in Southeast Asia. </w:t>
      </w:r>
      <w:r w:rsidRPr="003E74FF">
        <w:rPr>
          <w:rFonts w:ascii="Garamond" w:hAnsi="Garamond" w:cs="Times New Roman"/>
          <w:i/>
        </w:rPr>
        <w:t>Terrorism and Political Violence</w:t>
      </w:r>
      <w:r w:rsidRPr="003E74FF">
        <w:rPr>
          <w:rFonts w:ascii="Garamond" w:hAnsi="Garamond" w:cs="Times New Roman"/>
        </w:rPr>
        <w:t xml:space="preserve">, </w:t>
      </w:r>
      <w:r w:rsidRPr="003E74FF">
        <w:rPr>
          <w:rFonts w:ascii="Garamond" w:hAnsi="Garamond" w:cs="Times New Roman"/>
          <w:i/>
        </w:rPr>
        <w:t>16</w:t>
      </w:r>
      <w:r w:rsidRPr="003E74FF">
        <w:rPr>
          <w:rFonts w:ascii="Garamond" w:hAnsi="Garamond" w:cs="Times New Roman"/>
        </w:rPr>
        <w:t>(2), 328–349. https://doi.org/10.1080/09546550490483990</w:t>
      </w:r>
    </w:p>
    <w:p w14:paraId="25CDDDB9"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T{abarī, A. J. M. ibn J. al-. (1963). </w:t>
      </w:r>
      <w:r w:rsidRPr="003E74FF">
        <w:rPr>
          <w:rFonts w:ascii="Garamond" w:hAnsi="Garamond" w:cs="Times New Roman"/>
          <w:i/>
        </w:rPr>
        <w:t>Tārīkh al-T{abarī: Tāri&gt;kh al-Rasūl wa al-Mulk, Juz III</w:t>
      </w:r>
      <w:r w:rsidRPr="003E74FF">
        <w:rPr>
          <w:rFonts w:ascii="Garamond" w:hAnsi="Garamond" w:cs="Times New Roman"/>
        </w:rPr>
        <w:t>. Dār al-Ma’ārif.</w:t>
      </w:r>
    </w:p>
    <w:p w14:paraId="65BFBA1A"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Tyre, P. (1998). </w:t>
      </w:r>
      <w:r w:rsidRPr="003E74FF">
        <w:rPr>
          <w:rFonts w:ascii="Garamond" w:hAnsi="Garamond" w:cs="Times New Roman"/>
          <w:i/>
        </w:rPr>
        <w:t>“Proud terrorist” gets life for Trade Center bombing</w:t>
      </w:r>
      <w:r w:rsidRPr="003E74FF">
        <w:rPr>
          <w:rFonts w:ascii="Garamond" w:hAnsi="Garamond" w:cs="Times New Roman"/>
        </w:rPr>
        <w:t>. CNN. http://edition.cnn.com/US/9801/08/yousef.update/</w:t>
      </w:r>
    </w:p>
    <w:p w14:paraId="0753649F"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Wardlaw, G. (1986). </w:t>
      </w:r>
      <w:r w:rsidRPr="003E74FF">
        <w:rPr>
          <w:rFonts w:ascii="Garamond" w:hAnsi="Garamond" w:cs="Times New Roman"/>
          <w:i/>
        </w:rPr>
        <w:t>Political Terrorism</w:t>
      </w:r>
      <w:r w:rsidRPr="003E74FF">
        <w:rPr>
          <w:rFonts w:ascii="Garamond" w:hAnsi="Garamond" w:cs="Times New Roman"/>
        </w:rPr>
        <w:t>. Cambridge University Press.</w:t>
      </w:r>
    </w:p>
    <w:p w14:paraId="2547CDD4"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Weimann, G. (2004). </w:t>
      </w:r>
      <w:r w:rsidRPr="003E74FF">
        <w:rPr>
          <w:rFonts w:ascii="Garamond" w:hAnsi="Garamond" w:cs="Times New Roman"/>
          <w:i/>
        </w:rPr>
        <w:t>How Modern Terrorism Uses the Internet</w:t>
      </w:r>
      <w:r w:rsidRPr="003E74FF">
        <w:rPr>
          <w:rFonts w:ascii="Garamond" w:hAnsi="Garamond" w:cs="Times New Roman"/>
        </w:rPr>
        <w:t>. United States Institute for Peace.</w:t>
      </w:r>
    </w:p>
    <w:p w14:paraId="4EAFFBFB"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Yakan, F. (2002). </w:t>
      </w:r>
      <w:r w:rsidRPr="003E74FF">
        <w:rPr>
          <w:rFonts w:ascii="Garamond" w:hAnsi="Garamond" w:cs="Times New Roman"/>
          <w:i/>
        </w:rPr>
        <w:t>“Revolusi” Hasan Al-Banna: Gerakan Ikhwanul Muslimin dari Sayyid Quthb sampai Rasyid Al-Ghannushi</w:t>
      </w:r>
      <w:r w:rsidRPr="003E74FF">
        <w:rPr>
          <w:rFonts w:ascii="Garamond" w:hAnsi="Garamond" w:cs="Times New Roman"/>
        </w:rPr>
        <w:t>. Harakah.</w:t>
      </w:r>
    </w:p>
    <w:p w14:paraId="5062AE57" w14:textId="77777777" w:rsidR="009A69F5" w:rsidRPr="003E74FF" w:rsidRDefault="00844F89" w:rsidP="00332417">
      <w:pPr>
        <w:widowControl w:val="0"/>
        <w:spacing w:after="0"/>
        <w:ind w:left="480" w:hanging="480"/>
        <w:contextualSpacing/>
        <w:jc w:val="both"/>
        <w:rPr>
          <w:rFonts w:ascii="Garamond" w:hAnsi="Garamond" w:cs="Times New Roman"/>
        </w:rPr>
      </w:pPr>
      <w:r w:rsidRPr="003E74FF">
        <w:rPr>
          <w:rFonts w:ascii="Garamond" w:hAnsi="Garamond" w:cs="Times New Roman"/>
        </w:rPr>
        <w:t xml:space="preserve">Zahrah, M. A. (n.d.). </w:t>
      </w:r>
      <w:r w:rsidRPr="003E74FF">
        <w:rPr>
          <w:rFonts w:ascii="Garamond" w:hAnsi="Garamond" w:cs="Times New Roman"/>
          <w:i/>
        </w:rPr>
        <w:t>Tārīkh al-Madhāhib al-Islāmiyah</w:t>
      </w:r>
      <w:r w:rsidRPr="003E74FF">
        <w:rPr>
          <w:rFonts w:ascii="Garamond" w:hAnsi="Garamond" w:cs="Times New Roman"/>
        </w:rPr>
        <w:t>. Dār el-Fikr al-‘Arabi.</w:t>
      </w:r>
    </w:p>
    <w:p w14:paraId="74C7177E" w14:textId="77777777" w:rsidR="009A69F5" w:rsidRPr="003E74FF" w:rsidRDefault="009A69F5" w:rsidP="00FC31F4">
      <w:pPr>
        <w:widowControl w:val="0"/>
        <w:spacing w:after="0"/>
        <w:ind w:left="480" w:hanging="480"/>
        <w:contextualSpacing/>
        <w:rPr>
          <w:rFonts w:ascii="Garamond" w:hAnsi="Garamond"/>
          <w:b/>
        </w:rPr>
      </w:pPr>
    </w:p>
    <w:sectPr w:rsidR="009A69F5" w:rsidRPr="003E74FF" w:rsidSect="00C808E0">
      <w:headerReference w:type="even" r:id="rId11"/>
      <w:headerReference w:type="default" r:id="rId12"/>
      <w:footerReference w:type="even" r:id="rId13"/>
      <w:footerReference w:type="default" r:id="rId14"/>
      <w:headerReference w:type="first" r:id="rId15"/>
      <w:footerReference w:type="first" r:id="rId16"/>
      <w:pgSz w:w="9072" w:h="13608" w:code="9"/>
      <w:pgMar w:top="1701" w:right="1247" w:bottom="1418" w:left="1418" w:header="720" w:footer="720" w:gutter="0"/>
      <w:pgNumType w:start="20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84C5" w14:textId="77777777" w:rsidR="008762F3" w:rsidRDefault="008762F3">
      <w:pPr>
        <w:spacing w:after="0" w:line="240" w:lineRule="auto"/>
      </w:pPr>
      <w:r>
        <w:separator/>
      </w:r>
    </w:p>
  </w:endnote>
  <w:endnote w:type="continuationSeparator" w:id="0">
    <w:p w14:paraId="62BCF0DA" w14:textId="77777777" w:rsidR="008762F3" w:rsidRDefault="0087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Neue LT">
    <w:panose1 w:val="00000000000000000000"/>
    <w:charset w:val="00"/>
    <w:family w:val="roman"/>
    <w:notTrueType/>
    <w:pitch w:val="default"/>
  </w:font>
  <w:font w:name="Times New Arabic">
    <w:altName w:val="Times New Arabic"/>
    <w:panose1 w:val="02020603050405020304"/>
    <w:charset w:val="00"/>
    <w:family w:val="roman"/>
    <w:pitch w:val="variable"/>
    <w:sig w:usb0="00000003" w:usb1="00000000" w:usb2="00000000" w:usb3="00000000" w:csb0="00000001" w:csb1="00000000"/>
  </w:font>
  <w:font w:name="FarnhamText-RegularLF">
    <w:panose1 w:val="00000000000000000000"/>
    <w:charset w:val="00"/>
    <w:family w:val="roman"/>
    <w:notTrueType/>
    <w:pitch w:val="default"/>
  </w:font>
  <w:font w:name="FrescoSans">
    <w:panose1 w:val="00000000000000000000"/>
    <w:charset w:val="00"/>
    <w:family w:val="roman"/>
    <w:notTrueType/>
    <w:pitch w:val="default"/>
  </w:font>
  <w:font w:name="Georgia">
    <w:altName w:val="Book Antiqu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D6CD" w14:textId="1B2A122C" w:rsidR="00F4483C" w:rsidRPr="00173088" w:rsidRDefault="009923FB" w:rsidP="00F4483C">
    <w:pPr>
      <w:pStyle w:val="Header"/>
      <w:spacing w:after="0" w:line="240" w:lineRule="auto"/>
      <w:rPr>
        <w:rStyle w:val="fontstyle01"/>
        <w:sz w:val="18"/>
        <w:szCs w:val="18"/>
      </w:rPr>
    </w:pPr>
    <w:r w:rsidRPr="00173088">
      <w:rPr>
        <w:rFonts w:ascii="Garamond" w:hAnsi="Garamond"/>
        <w:noProof/>
        <w:color w:val="000000"/>
        <w:sz w:val="18"/>
        <w:szCs w:val="18"/>
      </w:rPr>
      <mc:AlternateContent>
        <mc:Choice Requires="wps">
          <w:drawing>
            <wp:anchor distT="0" distB="0" distL="114300" distR="114300" simplePos="0" relativeHeight="251661312" behindDoc="0" locked="0" layoutInCell="1" allowOverlap="1" wp14:anchorId="4C99572A" wp14:editId="6C297F55">
              <wp:simplePos x="0" y="0"/>
              <wp:positionH relativeFrom="margin">
                <wp:align>right</wp:align>
              </wp:positionH>
              <wp:positionV relativeFrom="paragraph">
                <wp:posOffset>117475</wp:posOffset>
              </wp:positionV>
              <wp:extent cx="197993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99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C45A1A" id="_x0000_t32" coordsize="21600,21600" o:spt="32" o:oned="t" path="m,l21600,21600e" filled="f">
              <v:path arrowok="t" fillok="f" o:connecttype="none"/>
              <o:lock v:ext="edit" shapetype="t"/>
            </v:shapetype>
            <v:shape id="Straight Arrow Connector 2" o:spid="_x0000_s1026" type="#_x0000_t32" style="position:absolute;margin-left:104.7pt;margin-top:9.25pt;width:155.9pt;height:0;flip:x;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" strokeweight="1.5pt">
              <w10:wrap anchorx="margin"/>
            </v:shape>
          </w:pict>
        </mc:Fallback>
      </mc:AlternateContent>
    </w:r>
  </w:p>
  <w:p w14:paraId="0E8A4992" w14:textId="37F05CEF" w:rsidR="00F4483C" w:rsidRPr="00173088" w:rsidRDefault="00F4483C" w:rsidP="009923FB">
    <w:pPr>
      <w:pStyle w:val="Header"/>
      <w:spacing w:after="0" w:line="240" w:lineRule="auto"/>
      <w:jc w:val="right"/>
      <w:rPr>
        <w:sz w:val="22"/>
        <w:szCs w:val="22"/>
      </w:rPr>
    </w:pPr>
    <w:r w:rsidRPr="00173088">
      <w:rPr>
        <w:rStyle w:val="fontstyle01"/>
      </w:rPr>
      <w:t>ж</w:t>
    </w:r>
    <w:r w:rsidRPr="00173088">
      <w:rPr>
        <w:rStyle w:val="fontstyle01"/>
        <w:lang w:val="en-US"/>
      </w:rPr>
      <w:t xml:space="preserve"> </w:t>
    </w:r>
    <w:r w:rsidRPr="00173088">
      <w:rPr>
        <w:rStyle w:val="fontstyle01"/>
        <w:i/>
        <w:iCs/>
        <w:lang w:val="en-US"/>
      </w:rPr>
      <w:t>Volume 09, Nomor 0</w:t>
    </w:r>
    <w:r w:rsidR="00567903">
      <w:rPr>
        <w:rStyle w:val="fontstyle01"/>
        <w:i/>
        <w:iCs/>
        <w:lang w:val="en-US"/>
      </w:rPr>
      <w:t>2</w:t>
    </w:r>
    <w:r w:rsidRPr="00173088">
      <w:rPr>
        <w:rStyle w:val="fontstyle01"/>
        <w:i/>
        <w:iCs/>
        <w:lang w:val="en-US"/>
      </w:rPr>
      <w:t xml:space="preserve">, </w:t>
    </w:r>
    <w:r w:rsidR="00567903">
      <w:rPr>
        <w:rStyle w:val="fontstyle01"/>
        <w:i/>
        <w:iCs/>
        <w:lang w:val="en-US"/>
      </w:rPr>
      <w:t xml:space="preserve">Desember </w:t>
    </w:r>
    <w:r w:rsidRPr="00173088">
      <w:rPr>
        <w:rStyle w:val="fontstyle01"/>
        <w:i/>
        <w:iCs/>
        <w:lang w:val="en-US"/>
      </w:rPr>
      <w:t>2021</w:t>
    </w:r>
    <w:r w:rsidRPr="00173088">
      <w:rPr>
        <w:rStyle w:val="fontstyle01"/>
        <w:lang w:val="en-US"/>
      </w:rPr>
      <w:t xml:space="preserve"> </w:t>
    </w:r>
    <w:r w:rsidRPr="00173088">
      <w:rPr>
        <w:rStyle w:val="fontstyle01"/>
      </w:rPr>
      <w:t>ж</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7256" w14:textId="77777777" w:rsidR="009A69F5" w:rsidRDefault="009A69F5">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rPr>
    </w:pPr>
  </w:p>
  <w:p w14:paraId="33A78434" w14:textId="31FAE56D" w:rsidR="006E3379" w:rsidRPr="00173088" w:rsidRDefault="009923FB" w:rsidP="006E3379">
    <w:pPr>
      <w:pStyle w:val="Header"/>
      <w:spacing w:after="0" w:line="240" w:lineRule="auto"/>
      <w:rPr>
        <w:rStyle w:val="fontstyle01"/>
        <w:sz w:val="18"/>
        <w:szCs w:val="18"/>
      </w:rPr>
    </w:pPr>
    <w:r w:rsidRPr="00173088">
      <w:rPr>
        <w:rFonts w:ascii="Garamond" w:hAnsi="Garamond"/>
        <w:noProof/>
        <w:color w:val="000000"/>
        <w:sz w:val="18"/>
        <w:szCs w:val="18"/>
      </w:rPr>
      <mc:AlternateContent>
        <mc:Choice Requires="wps">
          <w:drawing>
            <wp:anchor distT="0" distB="0" distL="114300" distR="114300" simplePos="0" relativeHeight="251663360" behindDoc="0" locked="0" layoutInCell="1" allowOverlap="1" wp14:anchorId="73C6EE5A" wp14:editId="01405953">
              <wp:simplePos x="0" y="0"/>
              <wp:positionH relativeFrom="margin">
                <wp:align>left</wp:align>
              </wp:positionH>
              <wp:positionV relativeFrom="paragraph">
                <wp:posOffset>117475</wp:posOffset>
              </wp:positionV>
              <wp:extent cx="197993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99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8A5D9" id="_x0000_t32" coordsize="21600,21600" o:spt="32" o:oned="t" path="m,l21600,21600e" filled="f">
              <v:path arrowok="t" fillok="f" o:connecttype="none"/>
              <o:lock v:ext="edit" shapetype="t"/>
            </v:shapetype>
            <v:shape id="Straight Arrow Connector 5" o:spid="_x0000_s1026" type="#_x0000_t32" style="position:absolute;margin-left:0;margin-top:9.25pt;width:155.9pt;height:0;flip:x;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" strokeweight="1.5pt">
              <w10:wrap anchorx="margin"/>
            </v:shape>
          </w:pict>
        </mc:Fallback>
      </mc:AlternateContent>
    </w:r>
    <w:r w:rsidR="00844F89">
      <w:rPr>
        <w:rFonts w:eastAsia="Cambria" w:cs="Cambria"/>
        <w:color w:val="000000"/>
      </w:rPr>
      <w:t xml:space="preserve"> </w:t>
    </w:r>
  </w:p>
  <w:p w14:paraId="48952D00" w14:textId="38FAB4DB" w:rsidR="009A69F5" w:rsidRPr="00332417" w:rsidRDefault="006E3379" w:rsidP="009923FB">
    <w:pPr>
      <w:pStyle w:val="Header"/>
      <w:spacing w:after="0" w:line="240" w:lineRule="auto"/>
      <w:rPr>
        <w:rFonts w:ascii="Garamond" w:eastAsia="Cambria" w:hAnsi="Garamond" w:cs="Cambria"/>
        <w:color w:val="000000"/>
        <w:sz w:val="20"/>
        <w:szCs w:val="20"/>
      </w:rPr>
    </w:pPr>
    <w:r w:rsidRPr="00173088">
      <w:rPr>
        <w:rStyle w:val="fontstyle01"/>
      </w:rPr>
      <w:t>ж</w:t>
    </w:r>
    <w:r w:rsidRPr="00173088">
      <w:rPr>
        <w:rStyle w:val="fontstyle01"/>
        <w:lang w:val="en-US"/>
      </w:rPr>
      <w:t xml:space="preserve"> </w:t>
    </w:r>
    <w:r w:rsidRPr="00173088">
      <w:rPr>
        <w:rStyle w:val="fontstyle01"/>
        <w:i/>
        <w:iCs/>
        <w:lang w:val="en-US"/>
      </w:rPr>
      <w:t>Volume 09, Nomor 0</w:t>
    </w:r>
    <w:r>
      <w:rPr>
        <w:rStyle w:val="fontstyle01"/>
        <w:i/>
        <w:iCs/>
        <w:lang w:val="en-US"/>
      </w:rPr>
      <w:t>2</w:t>
    </w:r>
    <w:r w:rsidRPr="00173088">
      <w:rPr>
        <w:rStyle w:val="fontstyle01"/>
        <w:i/>
        <w:iCs/>
        <w:lang w:val="en-US"/>
      </w:rPr>
      <w:t xml:space="preserve">, </w:t>
    </w:r>
    <w:r>
      <w:rPr>
        <w:rStyle w:val="fontstyle01"/>
        <w:i/>
        <w:iCs/>
        <w:lang w:val="en-US"/>
      </w:rPr>
      <w:t xml:space="preserve">Desember </w:t>
    </w:r>
    <w:r w:rsidRPr="00173088">
      <w:rPr>
        <w:rStyle w:val="fontstyle01"/>
        <w:i/>
        <w:iCs/>
        <w:lang w:val="en-US"/>
      </w:rPr>
      <w:t>2021</w:t>
    </w:r>
    <w:r w:rsidRPr="00173088">
      <w:rPr>
        <w:rStyle w:val="fontstyle01"/>
        <w:lang w:val="en-US"/>
      </w:rPr>
      <w:t xml:space="preserve"> </w:t>
    </w:r>
    <w:r w:rsidRPr="00173088">
      <w:rPr>
        <w:rStyle w:val="fontstyle01"/>
      </w:rPr>
      <w:t>ж</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BC3B" w14:textId="443EFB96" w:rsidR="00F4483C" w:rsidRPr="00173088" w:rsidRDefault="00F4483C" w:rsidP="00F4483C">
    <w:pPr>
      <w:pStyle w:val="Footer"/>
      <w:jc w:val="right"/>
      <w:rPr>
        <w:rFonts w:ascii="Garamond" w:hAnsi="Garamond"/>
        <w:sz w:val="20"/>
        <w:szCs w:val="20"/>
        <w:lang w:val="en-US"/>
      </w:rPr>
    </w:pPr>
    <w:r w:rsidRPr="00173088">
      <w:rPr>
        <w:rFonts w:ascii="Garamond" w:hAnsi="Garamond"/>
        <w:noProof/>
        <w:sz w:val="20"/>
        <w:szCs w:val="20"/>
        <w:lang w:val="en-US"/>
      </w:rPr>
      <mc:AlternateContent>
        <mc:Choice Requires="wps">
          <w:drawing>
            <wp:anchor distT="0" distB="0" distL="114300" distR="114300" simplePos="0" relativeHeight="251659264" behindDoc="0" locked="0" layoutInCell="1" allowOverlap="1" wp14:anchorId="16A4C192" wp14:editId="527A98A6">
              <wp:simplePos x="0" y="0"/>
              <wp:positionH relativeFrom="column">
                <wp:posOffset>1718945</wp:posOffset>
              </wp:positionH>
              <wp:positionV relativeFrom="paragraph">
                <wp:posOffset>-16510</wp:posOffset>
              </wp:positionV>
              <wp:extent cx="2339975" cy="0"/>
              <wp:effectExtent l="13970" t="12065" r="17780"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338CC" id="_x0000_t32" coordsize="21600,21600" o:spt="32" o:oned="t" path="m,l21600,21600e" filled="f">
              <v:path arrowok="t" fillok="f" o:connecttype="none"/>
              <o:lock v:ext="edit" shapetype="t"/>
            </v:shapetype>
            <v:shape id="Straight Arrow Connector 1" o:spid="_x0000_s1026" type="#_x0000_t32" style="position:absolute;margin-left:135.35pt;margin-top:-1.3pt;width:184.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" strokeweight="1.5pt"/>
          </w:pict>
        </mc:Fallback>
      </mc:AlternateContent>
    </w:r>
    <w:r w:rsidRPr="00173088">
      <w:rPr>
        <w:rFonts w:ascii="Garamond" w:hAnsi="Garamond"/>
        <w:sz w:val="20"/>
        <w:szCs w:val="20"/>
        <w:lang w:val="en-US"/>
      </w:rPr>
      <w:t xml:space="preserve">ISSN: 2580-6866 (Online) </w:t>
    </w:r>
    <w:r w:rsidRPr="00173088">
      <w:rPr>
        <w:rFonts w:ascii="Garamond" w:hAnsi="Garamond"/>
        <w:lang w:val="en-US"/>
      </w:rPr>
      <w:t>|</w:t>
    </w:r>
    <w:r w:rsidRPr="00173088">
      <w:rPr>
        <w:rFonts w:ascii="Garamond" w:hAnsi="Garamond"/>
        <w:sz w:val="20"/>
        <w:szCs w:val="20"/>
        <w:lang w:val="en-US"/>
      </w:rPr>
      <w:t xml:space="preserve"> 2338-6169 (Print)</w:t>
    </w:r>
  </w:p>
  <w:p w14:paraId="031BFFA3" w14:textId="77777777" w:rsidR="00F4483C" w:rsidRPr="00173088" w:rsidRDefault="00F4483C" w:rsidP="00F4483C">
    <w:pPr>
      <w:pStyle w:val="Footer"/>
      <w:jc w:val="right"/>
      <w:rPr>
        <w:rFonts w:ascii="Garamond" w:hAnsi="Garamond"/>
        <w:i/>
        <w:iCs/>
        <w:sz w:val="20"/>
        <w:szCs w:val="20"/>
        <w:lang w:val="en-US"/>
      </w:rPr>
    </w:pPr>
    <w:r w:rsidRPr="00173088">
      <w:rPr>
        <w:rFonts w:ascii="Garamond" w:hAnsi="Garamond"/>
        <w:b/>
        <w:bCs/>
        <w:sz w:val="20"/>
        <w:szCs w:val="20"/>
        <w:lang w:val="en-US"/>
      </w:rPr>
      <w:t>DOI Prefix</w:t>
    </w:r>
    <w:r w:rsidRPr="00173088">
      <w:rPr>
        <w:rFonts w:ascii="Garamond" w:hAnsi="Garamond"/>
        <w:sz w:val="20"/>
        <w:szCs w:val="20"/>
        <w:lang w:val="en-US"/>
      </w:rPr>
      <w:t xml:space="preserve"> : </w:t>
    </w:r>
    <w:r w:rsidRPr="00173088">
      <w:rPr>
        <w:rFonts w:ascii="Garamond" w:hAnsi="Garamond"/>
        <w:i/>
        <w:iCs/>
        <w:sz w:val="20"/>
        <w:szCs w:val="20"/>
        <w:lang w:val="en-US"/>
      </w:rPr>
      <w:t>Prefix 10.21274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051A" w14:textId="77777777" w:rsidR="008762F3" w:rsidRDefault="008762F3">
      <w:pPr>
        <w:spacing w:after="0" w:line="240" w:lineRule="auto"/>
      </w:pPr>
      <w:r>
        <w:separator/>
      </w:r>
    </w:p>
  </w:footnote>
  <w:footnote w:type="continuationSeparator" w:id="0">
    <w:p w14:paraId="5839F0F8" w14:textId="77777777" w:rsidR="008762F3" w:rsidRDefault="008762F3">
      <w:pPr>
        <w:spacing w:after="0" w:line="240" w:lineRule="auto"/>
      </w:pPr>
      <w:r>
        <w:continuationSeparator/>
      </w:r>
    </w:p>
  </w:footnote>
  <w:footnote w:id="1">
    <w:p w14:paraId="55951FFE" w14:textId="77777777" w:rsidR="009A69F5" w:rsidRDefault="00844F89">
      <w:pPr>
        <w:spacing w:after="0" w:line="240" w:lineRule="auto"/>
        <w:ind w:firstLine="567"/>
        <w:jc w:val="both"/>
        <w:rPr>
          <w:rFonts w:ascii="Times" w:eastAsia="Times" w:hAnsi="Times" w:cs="Times"/>
          <w:sz w:val="20"/>
          <w:szCs w:val="20"/>
        </w:rPr>
      </w:pPr>
      <w:r>
        <w:rPr>
          <w:rStyle w:val="FootnoteReference"/>
        </w:rPr>
        <w:footnoteRef/>
      </w:r>
      <w:r>
        <w:rPr>
          <w:rFonts w:ascii="Times" w:eastAsia="Times" w:hAnsi="Times" w:cs="Times"/>
          <w:sz w:val="20"/>
          <w:szCs w:val="20"/>
        </w:rPr>
        <w:t xml:space="preserve"> </w:t>
      </w:r>
      <w:r>
        <w:rPr>
          <w:rFonts w:ascii="Times" w:eastAsia="Times" w:hAnsi="Times" w:cs="Times"/>
          <w:sz w:val="20"/>
          <w:szCs w:val="20"/>
          <w:rtl/>
        </w:rPr>
        <w:t>وَقَاتِلُوهُمْ حَتَّى لاَ تَكُونَ فِتْنَةٌ وَيَكُونَ الدِّينُ كُلُّهُ لِلَّه</w:t>
      </w:r>
      <w:r>
        <w:rPr>
          <w:rFonts w:ascii="Times" w:eastAsia="Times" w:hAnsi="Times" w:cs="Times"/>
          <w:sz w:val="20"/>
          <w:szCs w:val="20"/>
        </w:rPr>
        <w:t>ِ</w:t>
      </w:r>
    </w:p>
    <w:p w14:paraId="54F93534" w14:textId="77777777" w:rsidR="009A69F5" w:rsidRDefault="00844F89">
      <w:pPr>
        <w:spacing w:after="0" w:line="240" w:lineRule="auto"/>
        <w:ind w:firstLine="567"/>
        <w:jc w:val="both"/>
        <w:rPr>
          <w:rFonts w:ascii="Times" w:eastAsia="Times" w:hAnsi="Times" w:cs="Times"/>
          <w:i/>
          <w:sz w:val="20"/>
          <w:szCs w:val="20"/>
        </w:rPr>
      </w:pPr>
      <w:r>
        <w:rPr>
          <w:rFonts w:ascii="Times" w:eastAsia="Times" w:hAnsi="Times" w:cs="Times"/>
          <w:i/>
          <w:sz w:val="20"/>
          <w:szCs w:val="20"/>
        </w:rPr>
        <w:t>Artinya: Dan perangilah mereka, supaya jangan ada fitnah</w:t>
      </w:r>
      <w:r>
        <w:rPr>
          <w:rFonts w:ascii="Times" w:eastAsia="Times" w:hAnsi="Times" w:cs="Times"/>
          <w:i/>
          <w:sz w:val="20"/>
          <w:szCs w:val="20"/>
          <w:vertAlign w:val="superscript"/>
        </w:rPr>
        <w:t xml:space="preserve"> </w:t>
      </w:r>
      <w:r>
        <w:rPr>
          <w:rFonts w:ascii="Times" w:eastAsia="Times" w:hAnsi="Times" w:cs="Times"/>
          <w:i/>
          <w:sz w:val="20"/>
          <w:szCs w:val="20"/>
        </w:rPr>
        <w:t>dan supaya agama itu semata-mata untuk Allah.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01A8" w14:textId="7703734B" w:rsidR="00F4483C" w:rsidRPr="00B752B0" w:rsidRDefault="009923FB" w:rsidP="009923FB">
    <w:pPr>
      <w:pStyle w:val="Header"/>
      <w:spacing w:after="0" w:line="240" w:lineRule="auto"/>
      <w:rPr>
        <w:rFonts w:ascii="Garamond" w:hAnsi="Garamond"/>
        <w:sz w:val="20"/>
        <w:szCs w:val="20"/>
        <w:lang w:val="en-US"/>
      </w:rPr>
    </w:pPr>
    <w:r w:rsidRPr="00173088">
      <w:rPr>
        <w:rFonts w:ascii="Garamond" w:hAnsi="Garamond"/>
        <w:sz w:val="20"/>
        <w:szCs w:val="20"/>
        <w:lang w:val="en-US"/>
      </w:rPr>
      <w:t>[</w:t>
    </w:r>
    <w:r w:rsidRPr="00173088">
      <w:rPr>
        <w:rFonts w:ascii="Garamond" w:hAnsi="Garamond"/>
        <w:sz w:val="20"/>
        <w:szCs w:val="20"/>
      </w:rPr>
      <w:fldChar w:fldCharType="begin"/>
    </w:r>
    <w:r w:rsidRPr="00173088">
      <w:rPr>
        <w:rFonts w:ascii="Garamond" w:hAnsi="Garamond"/>
        <w:sz w:val="20"/>
        <w:szCs w:val="20"/>
      </w:rPr>
      <w:instrText xml:space="preserve"> PAGE   \* MERGEFORMAT </w:instrText>
    </w:r>
    <w:r w:rsidRPr="00173088">
      <w:rPr>
        <w:rFonts w:ascii="Garamond" w:hAnsi="Garamond"/>
        <w:sz w:val="20"/>
        <w:szCs w:val="20"/>
      </w:rPr>
      <w:fldChar w:fldCharType="separate"/>
    </w:r>
    <w:r>
      <w:rPr>
        <w:rFonts w:ascii="Garamond" w:hAnsi="Garamond"/>
        <w:sz w:val="20"/>
        <w:szCs w:val="20"/>
      </w:rPr>
      <w:t>208</w:t>
    </w:r>
    <w:r w:rsidRPr="00173088">
      <w:rPr>
        <w:rFonts w:ascii="Garamond" w:hAnsi="Garamond"/>
        <w:noProof/>
        <w:sz w:val="20"/>
        <w:szCs w:val="20"/>
      </w:rPr>
      <w:fldChar w:fldCharType="end"/>
    </w:r>
    <w:r w:rsidRPr="00173088">
      <w:rPr>
        <w:rFonts w:ascii="Garamond" w:hAnsi="Garamond"/>
        <w:noProof/>
        <w:sz w:val="20"/>
        <w:szCs w:val="20"/>
        <w:lang w:val="en-US"/>
      </w:rPr>
      <w:t>]</w:t>
    </w:r>
    <w:r>
      <w:rPr>
        <w:rFonts w:ascii="Garamond" w:hAnsi="Garamond"/>
        <w:noProof/>
        <w:sz w:val="20"/>
        <w:szCs w:val="20"/>
        <w:lang w:val="en-US"/>
      </w:rPr>
      <w:t xml:space="preserve"> </w:t>
    </w:r>
    <w:r w:rsidRPr="00173088">
      <w:rPr>
        <w:rFonts w:ascii="Garamond" w:hAnsi="Garamond"/>
        <w:b/>
        <w:bCs/>
        <w:sz w:val="20"/>
        <w:szCs w:val="20"/>
        <w:lang w:val="en-US"/>
      </w:rPr>
      <w:t>Kontemplasi</w:t>
    </w:r>
    <w:r w:rsidRPr="00173088">
      <w:rPr>
        <w:rFonts w:ascii="Garamond" w:hAnsi="Garamond"/>
        <w:sz w:val="20"/>
        <w:szCs w:val="20"/>
        <w:lang w:val="en-US"/>
      </w:rPr>
      <w:t>: Jurnal Ilmu-Ilmu Ushuluddin</w:t>
    </w:r>
    <w:r>
      <w:rPr>
        <w:rFonts w:ascii="Garamond" w:hAnsi="Garamond"/>
        <w:sz w:val="20"/>
        <w:szCs w:val="20"/>
        <w:lang w:val="en-US"/>
      </w:rPr>
      <w:t xml:space="preserve"> </w:t>
    </w:r>
  </w:p>
  <w:p w14:paraId="510A91C0" w14:textId="77777777" w:rsidR="00F4483C" w:rsidRDefault="00F44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B18C" w14:textId="58DA4EFC" w:rsidR="006E3379" w:rsidRPr="00173088" w:rsidRDefault="009923FB" w:rsidP="009923FB">
    <w:pPr>
      <w:pStyle w:val="Header"/>
      <w:jc w:val="right"/>
      <w:rPr>
        <w:rFonts w:ascii="Garamond" w:hAnsi="Garamond"/>
        <w:sz w:val="20"/>
        <w:szCs w:val="20"/>
        <w:lang w:val="en-US"/>
      </w:rPr>
    </w:pPr>
    <w:r w:rsidRPr="00B752B0">
      <w:rPr>
        <w:rFonts w:ascii="Garamond" w:hAnsi="Garamond"/>
        <w:b/>
        <w:bCs/>
        <w:color w:val="000000"/>
        <w:kern w:val="2"/>
        <w:sz w:val="20"/>
        <w:szCs w:val="20"/>
        <w:lang w:val="en-US" w:bidi="en-US"/>
      </w:rPr>
      <w:t xml:space="preserve">A. K. </w:t>
    </w:r>
    <w:r w:rsidRPr="00B752B0">
      <w:rPr>
        <w:rFonts w:ascii="Garamond" w:hAnsi="Garamond"/>
        <w:b/>
        <w:bCs/>
        <w:color w:val="000000"/>
        <w:kern w:val="2"/>
        <w:sz w:val="20"/>
        <w:szCs w:val="20"/>
        <w:lang w:bidi="en-US"/>
      </w:rPr>
      <w:t>Fata</w:t>
    </w:r>
    <w:r w:rsidR="00F86714">
      <w:rPr>
        <w:rFonts w:ascii="Garamond" w:hAnsi="Garamond"/>
        <w:b/>
        <w:bCs/>
        <w:color w:val="000000"/>
        <w:kern w:val="2"/>
        <w:sz w:val="20"/>
        <w:szCs w:val="20"/>
        <w:lang w:val="en-US" w:bidi="en-US"/>
      </w:rPr>
      <w:t xml:space="preserve">, M. Khamdan </w:t>
    </w:r>
    <w:r w:rsidRPr="00B752B0">
      <w:rPr>
        <w:rFonts w:ascii="Garamond" w:hAnsi="Garamond"/>
        <w:b/>
        <w:bCs/>
        <w:color w:val="000000"/>
        <w:kern w:val="2"/>
        <w:sz w:val="20"/>
        <w:szCs w:val="20"/>
        <w:lang w:val="en-US" w:bidi="en-US"/>
      </w:rPr>
      <w:t xml:space="preserve">: </w:t>
    </w:r>
    <w:r w:rsidRPr="00B752B0">
      <w:rPr>
        <w:rFonts w:ascii="Garamond" w:hAnsi="Garamond"/>
        <w:bCs/>
        <w:i/>
        <w:iCs/>
        <w:sz w:val="20"/>
        <w:szCs w:val="20"/>
      </w:rPr>
      <w:t>Jihad Global:</w:t>
    </w:r>
    <w:r w:rsidRPr="00B752B0">
      <w:rPr>
        <w:rFonts w:ascii="Garamond" w:hAnsi="Garamond"/>
        <w:bCs/>
        <w:i/>
        <w:iCs/>
        <w:sz w:val="20"/>
        <w:szCs w:val="20"/>
        <w:lang w:val="en-US"/>
      </w:rPr>
      <w:t xml:space="preserve"> …</w:t>
    </w:r>
    <w:r>
      <w:rPr>
        <w:rFonts w:ascii="Garamond" w:hAnsi="Garamond"/>
        <w:bCs/>
        <w:i/>
        <w:iCs/>
        <w:sz w:val="20"/>
        <w:szCs w:val="20"/>
        <w:lang w:val="en-US"/>
      </w:rPr>
      <w:t xml:space="preserve"> </w:t>
    </w:r>
    <w:r w:rsidRPr="00B752B0">
      <w:rPr>
        <w:rFonts w:ascii="Garamond" w:hAnsi="Garamond"/>
        <w:sz w:val="20"/>
        <w:szCs w:val="20"/>
        <w:lang w:val="en-US"/>
      </w:rPr>
      <w:t>[</w:t>
    </w:r>
    <w:r w:rsidRPr="00B752B0">
      <w:rPr>
        <w:rFonts w:ascii="Garamond" w:hAnsi="Garamond"/>
        <w:sz w:val="20"/>
        <w:szCs w:val="20"/>
      </w:rPr>
      <w:fldChar w:fldCharType="begin"/>
    </w:r>
    <w:r w:rsidRPr="00B752B0">
      <w:rPr>
        <w:rFonts w:ascii="Garamond" w:hAnsi="Garamond"/>
        <w:sz w:val="20"/>
        <w:szCs w:val="20"/>
      </w:rPr>
      <w:instrText xml:space="preserve"> PAGE   \* MERGEFORMAT </w:instrText>
    </w:r>
    <w:r w:rsidRPr="00B752B0">
      <w:rPr>
        <w:rFonts w:ascii="Garamond" w:hAnsi="Garamond"/>
        <w:sz w:val="20"/>
        <w:szCs w:val="20"/>
      </w:rPr>
      <w:fldChar w:fldCharType="separate"/>
    </w:r>
    <w:r>
      <w:rPr>
        <w:rFonts w:ascii="Garamond" w:hAnsi="Garamond"/>
        <w:sz w:val="20"/>
        <w:szCs w:val="20"/>
      </w:rPr>
      <w:t>207</w:t>
    </w:r>
    <w:r w:rsidRPr="00B752B0">
      <w:rPr>
        <w:rFonts w:ascii="Garamond" w:hAnsi="Garamond"/>
        <w:noProof/>
        <w:sz w:val="20"/>
        <w:szCs w:val="20"/>
      </w:rPr>
      <w:fldChar w:fldCharType="end"/>
    </w:r>
    <w:r w:rsidRPr="00B752B0">
      <w:rPr>
        <w:rFonts w:ascii="Garamond" w:hAnsi="Garamond"/>
        <w:noProof/>
        <w:sz w:val="20"/>
        <w:szCs w:val="20"/>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5DBB" w14:textId="77777777" w:rsidR="003E74FF" w:rsidRPr="00980C27" w:rsidRDefault="003E74FF" w:rsidP="003E74FF">
    <w:pPr>
      <w:pStyle w:val="Header"/>
      <w:spacing w:after="0" w:line="240" w:lineRule="auto"/>
      <w:rPr>
        <w:rFonts w:ascii="Garamond" w:hAnsi="Garamond"/>
        <w:u w:val="single"/>
        <w:lang w:val="en-US"/>
      </w:rPr>
    </w:pPr>
    <w:r w:rsidRPr="00980C27">
      <w:rPr>
        <w:rFonts w:ascii="Garamond" w:hAnsi="Garamond"/>
        <w:b/>
        <w:bCs/>
        <w:sz w:val="22"/>
        <w:szCs w:val="22"/>
        <w:u w:val="single"/>
        <w:lang w:val="en-US"/>
      </w:rPr>
      <w:t>Kontemplasi</w:t>
    </w:r>
    <w:r w:rsidRPr="00980C27">
      <w:rPr>
        <w:rFonts w:ascii="Garamond" w:hAnsi="Garamond"/>
        <w:sz w:val="22"/>
        <w:szCs w:val="22"/>
        <w:u w:val="single"/>
        <w:lang w:val="en-US"/>
      </w:rPr>
      <w:t>: Jurnal Ilmu-Ilmu Ushuluddin</w:t>
    </w:r>
  </w:p>
  <w:p w14:paraId="4EDFD2A8" w14:textId="12A0C76C" w:rsidR="003E74FF" w:rsidRDefault="003E74FF" w:rsidP="003E74FF">
    <w:pPr>
      <w:pStyle w:val="Header"/>
      <w:spacing w:after="0" w:line="240" w:lineRule="auto"/>
      <w:rPr>
        <w:rStyle w:val="fontstyle01"/>
      </w:rPr>
    </w:pPr>
    <w:r w:rsidRPr="00980C27">
      <w:rPr>
        <w:rStyle w:val="fontstyle01"/>
      </w:rPr>
      <w:t>ж</w:t>
    </w:r>
    <w:r w:rsidRPr="00980C27">
      <w:rPr>
        <w:rStyle w:val="fontstyle01"/>
        <w:lang w:val="en-US"/>
      </w:rPr>
      <w:t xml:space="preserve"> </w:t>
    </w:r>
    <w:r w:rsidRPr="00980C27">
      <w:rPr>
        <w:rStyle w:val="fontstyle01"/>
        <w:i/>
        <w:iCs/>
        <w:lang w:val="en-US"/>
      </w:rPr>
      <w:t>Volume 09, Nomor 0</w:t>
    </w:r>
    <w:r w:rsidR="00FC31F4">
      <w:rPr>
        <w:rStyle w:val="fontstyle01"/>
        <w:i/>
        <w:iCs/>
        <w:lang w:val="en-US"/>
      </w:rPr>
      <w:t>2</w:t>
    </w:r>
    <w:r w:rsidRPr="00980C27">
      <w:rPr>
        <w:rStyle w:val="fontstyle01"/>
        <w:i/>
        <w:iCs/>
        <w:lang w:val="en-US"/>
      </w:rPr>
      <w:t xml:space="preserve">, </w:t>
    </w:r>
    <w:r w:rsidR="00FC31F4">
      <w:rPr>
        <w:rStyle w:val="fontstyle01"/>
        <w:i/>
        <w:iCs/>
        <w:lang w:val="en-US"/>
      </w:rPr>
      <w:t xml:space="preserve">Desember </w:t>
    </w:r>
    <w:r w:rsidRPr="00980C27">
      <w:rPr>
        <w:rStyle w:val="fontstyle01"/>
        <w:i/>
        <w:iCs/>
        <w:lang w:val="en-US"/>
      </w:rPr>
      <w:t>2021</w:t>
    </w:r>
    <w:r w:rsidRPr="00980C27">
      <w:rPr>
        <w:rStyle w:val="fontstyle01"/>
        <w:lang w:val="en-US"/>
      </w:rPr>
      <w:t xml:space="preserve"> </w:t>
    </w:r>
    <w:r w:rsidRPr="00980C27">
      <w:rPr>
        <w:rStyle w:val="fontstyle01"/>
      </w:rPr>
      <w:t>ж</w:t>
    </w:r>
  </w:p>
  <w:p w14:paraId="52858D0E" w14:textId="77777777" w:rsidR="003E74FF" w:rsidRDefault="003E74FF" w:rsidP="003E74FF">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54E"/>
    <w:multiLevelType w:val="multilevel"/>
    <w:tmpl w:val="F6C0D38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C78C1"/>
    <w:multiLevelType w:val="multilevel"/>
    <w:tmpl w:val="9EFE25C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9207814"/>
    <w:multiLevelType w:val="hybridMultilevel"/>
    <w:tmpl w:val="054222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8706355"/>
    <w:multiLevelType w:val="hybridMultilevel"/>
    <w:tmpl w:val="05422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F5"/>
    <w:rsid w:val="00076FD7"/>
    <w:rsid w:val="00332417"/>
    <w:rsid w:val="003E74FF"/>
    <w:rsid w:val="00567903"/>
    <w:rsid w:val="006A33B8"/>
    <w:rsid w:val="006D1E1E"/>
    <w:rsid w:val="006E1043"/>
    <w:rsid w:val="006E3379"/>
    <w:rsid w:val="00844F89"/>
    <w:rsid w:val="008762F3"/>
    <w:rsid w:val="009923FB"/>
    <w:rsid w:val="009A69F5"/>
    <w:rsid w:val="00B752B0"/>
    <w:rsid w:val="00B86C46"/>
    <w:rsid w:val="00C64453"/>
    <w:rsid w:val="00C808E0"/>
    <w:rsid w:val="00F4483C"/>
    <w:rsid w:val="00F86714"/>
    <w:rsid w:val="00FC3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D99D8"/>
  <w15:docId w15:val="{6D083F28-6408-4DCD-8F2C-0573EF78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EE6"/>
    <w:rPr>
      <w:rFonts w:eastAsia="Times New Roman" w:cs="Arial"/>
    </w:rPr>
  </w:style>
  <w:style w:type="paragraph" w:styleId="Heading1">
    <w:name w:val="heading 1"/>
    <w:basedOn w:val="Normal"/>
    <w:link w:val="Heading1Char"/>
    <w:uiPriority w:val="9"/>
    <w:qFormat/>
    <w:rsid w:val="00357EE6"/>
    <w:pPr>
      <w:spacing w:before="100" w:beforeAutospacing="1" w:after="100" w:afterAutospacing="1" w:line="240" w:lineRule="auto"/>
      <w:outlineLvl w:val="0"/>
    </w:pPr>
    <w:rPr>
      <w:rFonts w:ascii="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A16000"/>
    <w:pPr>
      <w:keepNext/>
      <w:keepLines/>
      <w:spacing w:before="200" w:after="0" w:line="240" w:lineRule="auto"/>
      <w:outlineLvl w:val="1"/>
    </w:pPr>
    <w:rPr>
      <w:rFonts w:asciiTheme="majorHAnsi" w:eastAsiaTheme="majorEastAsia" w:hAnsiTheme="majorHAnsi" w:cstheme="majorBidi"/>
      <w:b/>
      <w:bCs/>
      <w:noProof/>
      <w:color w:val="4F81BD" w:themeColor="accent1"/>
      <w:sz w:val="26"/>
      <w:szCs w:val="26"/>
      <w:lang w:val="en-US"/>
    </w:rPr>
  </w:style>
  <w:style w:type="paragraph" w:styleId="Heading3">
    <w:name w:val="heading 3"/>
    <w:basedOn w:val="Normal"/>
    <w:next w:val="Normal"/>
    <w:link w:val="Heading3Char"/>
    <w:uiPriority w:val="9"/>
    <w:semiHidden/>
    <w:unhideWhenUsed/>
    <w:qFormat/>
    <w:rsid w:val="00383791"/>
    <w:pPr>
      <w:keepNext/>
      <w:keepLines/>
      <w:spacing w:before="200" w:after="0"/>
      <w:outlineLvl w:val="2"/>
    </w:pPr>
    <w:rPr>
      <w:rFonts w:ascii="Cambria" w:hAnsi="Cambria" w:cs="Times New Roman"/>
      <w:b/>
      <w:bCs/>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57EE6"/>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9"/>
    <w:rsid w:val="00A16000"/>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383791"/>
    <w:rPr>
      <w:rFonts w:ascii="Cambria" w:eastAsia="Times New Roman" w:hAnsi="Cambria" w:cs="Times New Roman"/>
      <w:b/>
      <w:bCs/>
      <w:color w:val="4F81BD"/>
      <w:lang w:val="id-ID"/>
    </w:rPr>
  </w:style>
  <w:style w:type="paragraph" w:styleId="Header">
    <w:name w:val="header"/>
    <w:basedOn w:val="Normal"/>
    <w:link w:val="HeaderChar"/>
    <w:uiPriority w:val="99"/>
    <w:rsid w:val="00357EE6"/>
    <w:pPr>
      <w:tabs>
        <w:tab w:val="center" w:pos="4320"/>
        <w:tab w:val="right" w:pos="8640"/>
      </w:tabs>
    </w:pPr>
    <w:rPr>
      <w:rFonts w:ascii="Cambria" w:hAnsi="Cambria" w:cs="Times New Roman"/>
      <w:sz w:val="24"/>
      <w:szCs w:val="24"/>
    </w:rPr>
  </w:style>
  <w:style w:type="character" w:customStyle="1" w:styleId="HeaderChar">
    <w:name w:val="Header Char"/>
    <w:basedOn w:val="DefaultParagraphFont"/>
    <w:link w:val="Header"/>
    <w:uiPriority w:val="99"/>
    <w:rsid w:val="00357EE6"/>
    <w:rPr>
      <w:rFonts w:ascii="Cambria" w:eastAsia="Times New Roman" w:hAnsi="Cambria" w:cs="Times New Roman"/>
      <w:sz w:val="24"/>
      <w:szCs w:val="24"/>
    </w:rPr>
  </w:style>
  <w:style w:type="character" w:styleId="Hyperlink">
    <w:name w:val="Hyperlink"/>
    <w:uiPriority w:val="99"/>
    <w:unhideWhenUsed/>
    <w:rsid w:val="00357EE6"/>
    <w:rPr>
      <w:rFonts w:cs="Times New Roman"/>
      <w:color w:val="0000FF"/>
      <w:u w:val="single"/>
    </w:rPr>
  </w:style>
  <w:style w:type="character" w:customStyle="1" w:styleId="apple-converted-space">
    <w:name w:val="apple-converted-space"/>
    <w:rsid w:val="00357EE6"/>
    <w:rPr>
      <w:rFonts w:cs="Times New Roman"/>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357EE6"/>
    <w:pPr>
      <w:spacing w:after="0" w:line="240" w:lineRule="auto"/>
    </w:pPr>
    <w:rPr>
      <w:rFonts w:cs="Times New Roman"/>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357EE6"/>
    <w:rPr>
      <w:rFonts w:ascii="Calibri" w:eastAsia="Times New Roman" w:hAnsi="Calibri" w:cs="Times New Roman"/>
      <w:sz w:val="20"/>
      <w:szCs w:val="20"/>
      <w:lang w:val="id-ID"/>
    </w:rPr>
  </w:style>
  <w:style w:type="character" w:styleId="FootnoteReference">
    <w:name w:val="footnote reference"/>
    <w:uiPriority w:val="99"/>
    <w:unhideWhenUsed/>
    <w:rsid w:val="00357EE6"/>
    <w:rPr>
      <w:rFonts w:cs="Times New Roman"/>
      <w:vertAlign w:val="superscript"/>
    </w:rPr>
  </w:style>
  <w:style w:type="paragraph" w:styleId="ListParagraph">
    <w:name w:val="List Paragraph"/>
    <w:basedOn w:val="Normal"/>
    <w:uiPriority w:val="99"/>
    <w:qFormat/>
    <w:rsid w:val="00357EE6"/>
    <w:pPr>
      <w:ind w:left="720"/>
      <w:contextualSpacing/>
    </w:pPr>
  </w:style>
  <w:style w:type="character" w:customStyle="1" w:styleId="apple-style-span">
    <w:name w:val="apple-style-span"/>
    <w:rsid w:val="00357EE6"/>
    <w:rPr>
      <w:rFonts w:cs="Times New Roman"/>
    </w:rPr>
  </w:style>
  <w:style w:type="paragraph" w:customStyle="1" w:styleId="Default">
    <w:name w:val="Default"/>
    <w:rsid w:val="00357EE6"/>
    <w:pPr>
      <w:autoSpaceDE w:val="0"/>
      <w:autoSpaceDN w:val="0"/>
      <w:adjustRightInd w:val="0"/>
    </w:pPr>
    <w:rPr>
      <w:rFonts w:ascii="Cambria" w:eastAsia="Times New Roman" w:hAnsi="Cambria" w:cs="Times New Roman"/>
      <w:color w:val="000000"/>
      <w:sz w:val="24"/>
      <w:szCs w:val="24"/>
    </w:rPr>
  </w:style>
  <w:style w:type="paragraph" w:styleId="CommentText">
    <w:name w:val="annotation text"/>
    <w:basedOn w:val="Normal"/>
    <w:link w:val="CommentTextChar"/>
    <w:rsid w:val="00357EE6"/>
    <w:rPr>
      <w:rFonts w:cs="Times New Roman"/>
      <w:sz w:val="20"/>
      <w:szCs w:val="20"/>
    </w:rPr>
  </w:style>
  <w:style w:type="character" w:customStyle="1" w:styleId="CommentTextChar">
    <w:name w:val="Comment Text Char"/>
    <w:basedOn w:val="DefaultParagraphFont"/>
    <w:link w:val="CommentText"/>
    <w:rsid w:val="00357EE6"/>
    <w:rPr>
      <w:rFonts w:ascii="Calibri" w:eastAsia="Times New Roman" w:hAnsi="Calibri" w:cs="Times New Roman"/>
      <w:sz w:val="20"/>
      <w:szCs w:val="20"/>
    </w:rPr>
  </w:style>
  <w:style w:type="character" w:customStyle="1" w:styleId="post-content">
    <w:name w:val="post-content"/>
    <w:basedOn w:val="DefaultParagraphFont"/>
    <w:rsid w:val="00357EE6"/>
  </w:style>
  <w:style w:type="paragraph" w:styleId="NormalWeb">
    <w:name w:val="Normal (Web)"/>
    <w:basedOn w:val="Normal"/>
    <w:uiPriority w:val="99"/>
    <w:rsid w:val="00357EE6"/>
    <w:pPr>
      <w:spacing w:before="100" w:beforeAutospacing="1" w:after="100" w:afterAutospacing="1" w:line="240" w:lineRule="auto"/>
    </w:pPr>
    <w:rPr>
      <w:rFonts w:asciiTheme="minorHAnsi" w:hAnsiTheme="minorHAnsi" w:cs="Times New Roman"/>
      <w:sz w:val="24"/>
      <w:szCs w:val="24"/>
      <w:lang w:val="en-US"/>
    </w:rPr>
  </w:style>
  <w:style w:type="character" w:customStyle="1" w:styleId="hps">
    <w:name w:val="hps"/>
    <w:basedOn w:val="DefaultParagraphFont"/>
    <w:rsid w:val="00357EE6"/>
    <w:rPr>
      <w:rFonts w:cs="Times New Roman"/>
    </w:rPr>
  </w:style>
  <w:style w:type="character" w:styleId="Strong">
    <w:name w:val="Strong"/>
    <w:basedOn w:val="DefaultParagraphFont"/>
    <w:uiPriority w:val="22"/>
    <w:qFormat/>
    <w:rsid w:val="00357EE6"/>
    <w:rPr>
      <w:rFonts w:cs="Times New Roman"/>
      <w:b/>
      <w:bCs/>
    </w:rPr>
  </w:style>
  <w:style w:type="table" w:styleId="TableGrid">
    <w:name w:val="Table Grid"/>
    <w:basedOn w:val="TableNormal"/>
    <w:uiPriority w:val="99"/>
    <w:rsid w:val="00357E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57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EE6"/>
    <w:rPr>
      <w:rFonts w:ascii="Calibri" w:eastAsia="Times New Roman" w:hAnsi="Calibri" w:cs="Arial"/>
      <w:lang w:val="id-ID"/>
    </w:rPr>
  </w:style>
  <w:style w:type="paragraph" w:styleId="BalloonText">
    <w:name w:val="Balloon Text"/>
    <w:basedOn w:val="Normal"/>
    <w:link w:val="BalloonTextChar"/>
    <w:uiPriority w:val="99"/>
    <w:semiHidden/>
    <w:unhideWhenUsed/>
    <w:rsid w:val="008B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E8"/>
    <w:rPr>
      <w:rFonts w:ascii="Tahoma" w:eastAsia="Times New Roman" w:hAnsi="Tahoma" w:cs="Tahoma"/>
      <w:sz w:val="16"/>
      <w:szCs w:val="16"/>
      <w:lang w:val="id-ID"/>
    </w:rPr>
  </w:style>
  <w:style w:type="character" w:customStyle="1" w:styleId="caps">
    <w:name w:val="caps"/>
    <w:basedOn w:val="DefaultParagraphFont"/>
    <w:rsid w:val="00383791"/>
  </w:style>
  <w:style w:type="character" w:customStyle="1" w:styleId="field-content">
    <w:name w:val="field-content"/>
    <w:basedOn w:val="DefaultParagraphFont"/>
    <w:rsid w:val="00383791"/>
  </w:style>
  <w:style w:type="paragraph" w:styleId="Index1">
    <w:name w:val="index 1"/>
    <w:basedOn w:val="Normal"/>
    <w:next w:val="Normal"/>
    <w:autoRedefine/>
    <w:uiPriority w:val="99"/>
    <w:unhideWhenUsed/>
    <w:rsid w:val="00383791"/>
    <w:pPr>
      <w:spacing w:after="0"/>
      <w:ind w:left="220" w:hanging="220"/>
    </w:pPr>
    <w:rPr>
      <w:rFonts w:asciiTheme="minorHAnsi" w:hAnsiTheme="minorHAnsi" w:cs="Times New Roman"/>
      <w:sz w:val="18"/>
      <w:szCs w:val="21"/>
    </w:rPr>
  </w:style>
  <w:style w:type="paragraph" w:styleId="Index2">
    <w:name w:val="index 2"/>
    <w:basedOn w:val="Normal"/>
    <w:next w:val="Normal"/>
    <w:autoRedefine/>
    <w:uiPriority w:val="99"/>
    <w:unhideWhenUsed/>
    <w:rsid w:val="00383791"/>
    <w:pPr>
      <w:spacing w:after="0"/>
      <w:ind w:left="440" w:hanging="220"/>
    </w:pPr>
    <w:rPr>
      <w:rFonts w:asciiTheme="minorHAnsi" w:hAnsiTheme="minorHAnsi" w:cs="Times New Roman"/>
      <w:sz w:val="18"/>
      <w:szCs w:val="21"/>
    </w:rPr>
  </w:style>
  <w:style w:type="paragraph" w:styleId="Index3">
    <w:name w:val="index 3"/>
    <w:basedOn w:val="Normal"/>
    <w:next w:val="Normal"/>
    <w:autoRedefine/>
    <w:uiPriority w:val="99"/>
    <w:unhideWhenUsed/>
    <w:rsid w:val="00383791"/>
    <w:pPr>
      <w:spacing w:after="0"/>
      <w:ind w:left="660" w:hanging="220"/>
    </w:pPr>
    <w:rPr>
      <w:rFonts w:asciiTheme="minorHAnsi" w:hAnsiTheme="minorHAnsi" w:cs="Times New Roman"/>
      <w:sz w:val="18"/>
      <w:szCs w:val="21"/>
    </w:rPr>
  </w:style>
  <w:style w:type="paragraph" w:styleId="Index4">
    <w:name w:val="index 4"/>
    <w:basedOn w:val="Normal"/>
    <w:next w:val="Normal"/>
    <w:autoRedefine/>
    <w:uiPriority w:val="99"/>
    <w:unhideWhenUsed/>
    <w:rsid w:val="00383791"/>
    <w:pPr>
      <w:spacing w:after="0"/>
      <w:ind w:left="880" w:hanging="220"/>
    </w:pPr>
    <w:rPr>
      <w:rFonts w:asciiTheme="minorHAnsi" w:hAnsiTheme="minorHAnsi" w:cs="Times New Roman"/>
      <w:sz w:val="18"/>
      <w:szCs w:val="21"/>
    </w:rPr>
  </w:style>
  <w:style w:type="paragraph" w:styleId="Index5">
    <w:name w:val="index 5"/>
    <w:basedOn w:val="Normal"/>
    <w:next w:val="Normal"/>
    <w:autoRedefine/>
    <w:uiPriority w:val="99"/>
    <w:unhideWhenUsed/>
    <w:rsid w:val="00383791"/>
    <w:pPr>
      <w:spacing w:after="0"/>
      <w:ind w:left="1100" w:hanging="220"/>
    </w:pPr>
    <w:rPr>
      <w:rFonts w:asciiTheme="minorHAnsi" w:hAnsiTheme="minorHAnsi" w:cs="Times New Roman"/>
      <w:sz w:val="18"/>
      <w:szCs w:val="21"/>
    </w:rPr>
  </w:style>
  <w:style w:type="paragraph" w:styleId="Index6">
    <w:name w:val="index 6"/>
    <w:basedOn w:val="Normal"/>
    <w:next w:val="Normal"/>
    <w:autoRedefine/>
    <w:uiPriority w:val="99"/>
    <w:unhideWhenUsed/>
    <w:rsid w:val="00383791"/>
    <w:pPr>
      <w:spacing w:after="0"/>
      <w:ind w:left="1320" w:hanging="220"/>
    </w:pPr>
    <w:rPr>
      <w:rFonts w:asciiTheme="minorHAnsi" w:hAnsiTheme="minorHAnsi" w:cs="Times New Roman"/>
      <w:sz w:val="18"/>
      <w:szCs w:val="21"/>
    </w:rPr>
  </w:style>
  <w:style w:type="paragraph" w:styleId="Index7">
    <w:name w:val="index 7"/>
    <w:basedOn w:val="Normal"/>
    <w:next w:val="Normal"/>
    <w:autoRedefine/>
    <w:uiPriority w:val="99"/>
    <w:unhideWhenUsed/>
    <w:rsid w:val="00383791"/>
    <w:pPr>
      <w:spacing w:after="0"/>
      <w:ind w:left="1540" w:hanging="220"/>
    </w:pPr>
    <w:rPr>
      <w:rFonts w:asciiTheme="minorHAnsi" w:hAnsiTheme="minorHAnsi" w:cs="Times New Roman"/>
      <w:sz w:val="18"/>
      <w:szCs w:val="21"/>
    </w:rPr>
  </w:style>
  <w:style w:type="paragraph" w:styleId="Index8">
    <w:name w:val="index 8"/>
    <w:basedOn w:val="Normal"/>
    <w:next w:val="Normal"/>
    <w:autoRedefine/>
    <w:uiPriority w:val="99"/>
    <w:unhideWhenUsed/>
    <w:rsid w:val="00383791"/>
    <w:pPr>
      <w:spacing w:after="0"/>
      <w:ind w:left="1760" w:hanging="220"/>
    </w:pPr>
    <w:rPr>
      <w:rFonts w:asciiTheme="minorHAnsi" w:hAnsiTheme="minorHAnsi" w:cs="Times New Roman"/>
      <w:sz w:val="18"/>
      <w:szCs w:val="21"/>
    </w:rPr>
  </w:style>
  <w:style w:type="paragraph" w:styleId="Index9">
    <w:name w:val="index 9"/>
    <w:basedOn w:val="Normal"/>
    <w:next w:val="Normal"/>
    <w:autoRedefine/>
    <w:uiPriority w:val="99"/>
    <w:unhideWhenUsed/>
    <w:rsid w:val="00383791"/>
    <w:pPr>
      <w:spacing w:after="0"/>
      <w:ind w:left="1980" w:hanging="220"/>
    </w:pPr>
    <w:rPr>
      <w:rFonts w:asciiTheme="minorHAnsi" w:hAnsiTheme="minorHAnsi" w:cs="Times New Roman"/>
      <w:sz w:val="18"/>
      <w:szCs w:val="21"/>
    </w:rPr>
  </w:style>
  <w:style w:type="paragraph" w:styleId="IndexHeading">
    <w:name w:val="index heading"/>
    <w:basedOn w:val="Normal"/>
    <w:next w:val="Index1"/>
    <w:uiPriority w:val="99"/>
    <w:unhideWhenUsed/>
    <w:rsid w:val="00383791"/>
    <w:pPr>
      <w:spacing w:before="240" w:after="120"/>
      <w:jc w:val="center"/>
    </w:pPr>
    <w:rPr>
      <w:rFonts w:asciiTheme="minorHAnsi" w:hAnsiTheme="minorHAnsi" w:cs="Times New Roman"/>
      <w:b/>
      <w:bCs/>
      <w:sz w:val="26"/>
      <w:szCs w:val="31"/>
    </w:rPr>
  </w:style>
  <w:style w:type="paragraph" w:styleId="BodyTextIndent2">
    <w:name w:val="Body Text Indent 2"/>
    <w:basedOn w:val="Normal"/>
    <w:link w:val="BodyTextIndent2Char"/>
    <w:uiPriority w:val="99"/>
    <w:unhideWhenUsed/>
    <w:rsid w:val="00A16000"/>
    <w:pPr>
      <w:spacing w:after="120" w:line="480" w:lineRule="auto"/>
      <w:ind w:left="283"/>
    </w:pPr>
    <w:rPr>
      <w:rFonts w:ascii="Times New Roman" w:eastAsiaTheme="minorHAnsi" w:hAnsi="Times New Roman" w:cstheme="minorBidi"/>
      <w:noProof/>
      <w:sz w:val="24"/>
      <w:lang w:val="en-US"/>
    </w:rPr>
  </w:style>
  <w:style w:type="character" w:customStyle="1" w:styleId="BodyTextIndent2Char">
    <w:name w:val="Body Text Indent 2 Char"/>
    <w:basedOn w:val="DefaultParagraphFont"/>
    <w:link w:val="BodyTextIndent2"/>
    <w:uiPriority w:val="99"/>
    <w:rsid w:val="00A16000"/>
    <w:rPr>
      <w:rFonts w:ascii="Times New Roman" w:hAnsi="Times New Roman"/>
      <w:noProof/>
      <w:sz w:val="24"/>
    </w:rPr>
  </w:style>
  <w:style w:type="paragraph" w:customStyle="1" w:styleId="Pa6">
    <w:name w:val="Pa6"/>
    <w:basedOn w:val="Normal"/>
    <w:next w:val="Normal"/>
    <w:uiPriority w:val="99"/>
    <w:rsid w:val="00A16000"/>
    <w:pPr>
      <w:autoSpaceDE w:val="0"/>
      <w:autoSpaceDN w:val="0"/>
      <w:adjustRightInd w:val="0"/>
      <w:spacing w:after="0" w:line="171" w:lineRule="atLeast"/>
    </w:pPr>
    <w:rPr>
      <w:rFonts w:ascii="Helvetica Neue LT" w:hAnsi="Helvetica Neue LT" w:cs="Times New Roman"/>
      <w:sz w:val="24"/>
      <w:szCs w:val="24"/>
      <w:lang w:val="en-US"/>
    </w:rPr>
  </w:style>
  <w:style w:type="character" w:customStyle="1" w:styleId="fullpost">
    <w:name w:val="fullpost"/>
    <w:basedOn w:val="DefaultParagraphFont"/>
    <w:rsid w:val="00DB29C7"/>
    <w:rPr>
      <w:rFonts w:cs="Times New Roman"/>
    </w:rPr>
  </w:style>
  <w:style w:type="character" w:styleId="Emphasis">
    <w:name w:val="Emphasis"/>
    <w:basedOn w:val="DefaultParagraphFont"/>
    <w:uiPriority w:val="20"/>
    <w:qFormat/>
    <w:rsid w:val="0033285C"/>
    <w:rPr>
      <w:rFonts w:cs="Times New Roman"/>
      <w:i/>
      <w:iCs/>
    </w:rPr>
  </w:style>
  <w:style w:type="character" w:customStyle="1" w:styleId="st">
    <w:name w:val="st"/>
    <w:basedOn w:val="DefaultParagraphFont"/>
    <w:rsid w:val="0033285C"/>
    <w:rPr>
      <w:rFonts w:cs="Times New Roman"/>
    </w:rPr>
  </w:style>
  <w:style w:type="character" w:customStyle="1" w:styleId="summary">
    <w:name w:val="summary"/>
    <w:basedOn w:val="DefaultParagraphFont"/>
    <w:rsid w:val="0033285C"/>
    <w:rPr>
      <w:rFonts w:cs="Times New Roman"/>
    </w:rPr>
  </w:style>
  <w:style w:type="character" w:customStyle="1" w:styleId="gen">
    <w:name w:val="gen"/>
    <w:basedOn w:val="DefaultParagraphFont"/>
    <w:rsid w:val="0033285C"/>
  </w:style>
  <w:style w:type="character" w:customStyle="1" w:styleId="A4">
    <w:name w:val="A4"/>
    <w:uiPriority w:val="99"/>
    <w:rsid w:val="0033285C"/>
    <w:rPr>
      <w:rFonts w:cs="Times New Arabic"/>
      <w:color w:val="000000"/>
    </w:rPr>
  </w:style>
  <w:style w:type="character" w:customStyle="1" w:styleId="BodyTextIndent3Char">
    <w:name w:val="Body Text Indent 3 Char"/>
    <w:basedOn w:val="DefaultParagraphFont"/>
    <w:link w:val="BodyTextIndent3"/>
    <w:uiPriority w:val="99"/>
    <w:semiHidden/>
    <w:rsid w:val="0033285C"/>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33285C"/>
    <w:pPr>
      <w:spacing w:after="120" w:line="240" w:lineRule="auto"/>
      <w:ind w:left="283"/>
    </w:pPr>
    <w:rPr>
      <w:rFonts w:ascii="Times New Roman" w:hAnsi="Times New Roman" w:cs="Times New Roman"/>
      <w:sz w:val="16"/>
      <w:szCs w:val="16"/>
      <w:lang w:val="en-US"/>
    </w:rPr>
  </w:style>
  <w:style w:type="character" w:styleId="PageNumber">
    <w:name w:val="page number"/>
    <w:basedOn w:val="DefaultParagraphFont"/>
    <w:uiPriority w:val="99"/>
    <w:rsid w:val="0033285C"/>
    <w:rPr>
      <w:rFonts w:cs="Times New Roman"/>
    </w:rPr>
  </w:style>
  <w:style w:type="character" w:customStyle="1" w:styleId="previous">
    <w:name w:val="previous"/>
    <w:basedOn w:val="DefaultParagraphFont"/>
    <w:rsid w:val="0033285C"/>
  </w:style>
  <w:style w:type="character" w:customStyle="1" w:styleId="next">
    <w:name w:val="next"/>
    <w:basedOn w:val="DefaultParagraphFont"/>
    <w:rsid w:val="0033285C"/>
  </w:style>
  <w:style w:type="character" w:customStyle="1" w:styleId="addmd">
    <w:name w:val="addmd"/>
    <w:basedOn w:val="DefaultParagraphFont"/>
    <w:rsid w:val="0033285C"/>
  </w:style>
  <w:style w:type="character" w:customStyle="1" w:styleId="fn">
    <w:name w:val="fn"/>
    <w:basedOn w:val="DefaultParagraphFont"/>
    <w:rsid w:val="0033285C"/>
  </w:style>
  <w:style w:type="character" w:customStyle="1" w:styleId="Subtitle1">
    <w:name w:val="Subtitle1"/>
    <w:basedOn w:val="DefaultParagraphFont"/>
    <w:rsid w:val="0033285C"/>
  </w:style>
  <w:style w:type="character" w:customStyle="1" w:styleId="Subtitle2">
    <w:name w:val="Subtitle2"/>
    <w:basedOn w:val="DefaultParagraphFont"/>
    <w:rsid w:val="0033285C"/>
  </w:style>
  <w:style w:type="character" w:customStyle="1" w:styleId="A2">
    <w:name w:val="A2"/>
    <w:uiPriority w:val="99"/>
    <w:rsid w:val="0033285C"/>
    <w:rPr>
      <w:rFonts w:cs="FarnhamText-RegularLF"/>
      <w:color w:val="000000"/>
      <w:sz w:val="17"/>
      <w:szCs w:val="17"/>
    </w:rPr>
  </w:style>
  <w:style w:type="character" w:customStyle="1" w:styleId="A1">
    <w:name w:val="A1"/>
    <w:uiPriority w:val="99"/>
    <w:rsid w:val="0033285C"/>
    <w:rPr>
      <w:rFonts w:cs="FrescoSans"/>
      <w:color w:val="000000"/>
      <w:sz w:val="16"/>
      <w:szCs w:val="16"/>
    </w:rPr>
  </w:style>
  <w:style w:type="character" w:customStyle="1" w:styleId="A0">
    <w:name w:val="A0"/>
    <w:uiPriority w:val="99"/>
    <w:rsid w:val="0033285C"/>
    <w:rPr>
      <w:rFonts w:cs="FrescoSans"/>
      <w:b/>
      <w:bCs/>
      <w:color w:val="000000"/>
      <w:sz w:val="28"/>
      <w:szCs w:val="28"/>
    </w:rPr>
  </w:style>
  <w:style w:type="paragraph" w:customStyle="1" w:styleId="align-right">
    <w:name w:val="align-right"/>
    <w:basedOn w:val="Normal"/>
    <w:rsid w:val="0033285C"/>
    <w:pPr>
      <w:spacing w:before="100" w:beforeAutospacing="1" w:after="100" w:afterAutospacing="1" w:line="240" w:lineRule="auto"/>
    </w:pPr>
    <w:rPr>
      <w:rFonts w:ascii="Times New Roman" w:hAnsi="Times New Roman" w:cs="Times New Roman"/>
      <w:sz w:val="24"/>
      <w:szCs w:val="24"/>
      <w:lang w:val="en-US"/>
    </w:rPr>
  </w:style>
  <w:style w:type="character" w:styleId="HTMLCite">
    <w:name w:val="HTML Cite"/>
    <w:basedOn w:val="DefaultParagraphFont"/>
    <w:uiPriority w:val="99"/>
    <w:semiHidden/>
    <w:unhideWhenUsed/>
    <w:rsid w:val="000A4747"/>
    <w:rPr>
      <w:i/>
      <w:iCs/>
    </w:rPr>
  </w:style>
  <w:style w:type="paragraph" w:styleId="NoSpacing">
    <w:name w:val="No Spacing"/>
    <w:link w:val="NoSpacingChar"/>
    <w:uiPriority w:val="1"/>
    <w:qFormat/>
    <w:rsid w:val="004653B3"/>
  </w:style>
  <w:style w:type="character" w:customStyle="1" w:styleId="NoSpacingChar">
    <w:name w:val="No Spacing Char"/>
    <w:basedOn w:val="DefaultParagraphFont"/>
    <w:link w:val="NoSpacing"/>
    <w:uiPriority w:val="1"/>
    <w:locked/>
    <w:rsid w:val="004653B3"/>
    <w:rPr>
      <w:lang w:val="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rsid w:val="003E74FF"/>
    <w:rPr>
      <w:rFonts w:ascii="Garamond" w:hAnsi="Garamond"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QU2GGHEPp82auPJvh1GnWm2ht7A==">AMUW2mXOCGOchmJBS1DyszDyrZIja3YG86Re6YhfmW6mn6mYkMslsqTMJsnxTC2HGOSvYgbwOwjBZKAA3+VpEN6r5JxD8reeZdg+Q/WE0aoB4MPIzyqbjgJ/RI38UfyOaiFnSwXX7/FU</go:docsCustomData>
</go:gDocsCustomXmlDataStorage>
</file>

<file path=customXml/itemProps1.xml><?xml version="1.0" encoding="utf-8"?>
<ds:datastoreItem xmlns:ds="http://schemas.openxmlformats.org/officeDocument/2006/customXml" ds:itemID="{6DE43743-7C0D-4DDB-95B4-5D704ACB70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22</Pages>
  <Words>6543</Words>
  <Characters>37299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Rifatul Hasanah</dc:creator>
  <cp:lastModifiedBy>inspiron</cp:lastModifiedBy>
  <cp:revision>10</cp:revision>
  <dcterms:created xsi:type="dcterms:W3CDTF">2021-12-10T04:50:00Z</dcterms:created>
  <dcterms:modified xsi:type="dcterms:W3CDTF">2022-03-13T14:22:00Z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15aa05fe-831a-3839-bb31-7be77eadfee9</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http://www.zotero.org/styles/apa-numeric-superscript-brackets</vt:lpwstr>
  </property>
  <property fmtid="{D5CDD505-2E9C-101B-9397-08002B2CF9AE}" pid="10" name="Mendeley Recent Style Name 2_1">
    <vt:lpwstr>American Psychological Association 7th edition (numeric, brackets)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http://www.zotero.org/styles/norsk-apa-manual</vt:lpwstr>
  </property>
  <property fmtid="{D5CDD505-2E9C-101B-9397-08002B2CF9AE}" pid="20" name="Mendeley Recent Style Name 7_1">
    <vt:lpwstr>Norsk APA-manual - APA 7th edition (author-date)</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http://www.zotero.org/styles/turabian-author-date</vt:lpwstr>
  </property>
  <property fmtid="{D5CDD505-2E9C-101B-9397-08002B2CF9AE}" pid="24" name="Mendeley Recent Style Name 9_1">
    <vt:lpwstr>Turabian 9th edition (author-date)</vt:lpwstr>
  </property>
</Properties>
</file>